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0BE9" w14:textId="77777777" w:rsidR="00180429" w:rsidRDefault="00180429">
      <w:pPr>
        <w:pBdr>
          <w:bottom w:val="double" w:sz="4" w:space="1" w:color="auto"/>
        </w:pBdr>
        <w:autoSpaceDE w:val="0"/>
        <w:autoSpaceDN w:val="0"/>
        <w:adjustRightInd w:val="0"/>
        <w:rPr>
          <w:b/>
          <w:bCs/>
          <w:i/>
          <w:iCs/>
          <w:color w:val="000000"/>
          <w:sz w:val="20"/>
          <w:szCs w:val="20"/>
        </w:rPr>
      </w:pPr>
    </w:p>
    <w:p w14:paraId="0D22D6EA" w14:textId="77777777" w:rsidR="00180429" w:rsidRDefault="00180429">
      <w:pPr>
        <w:autoSpaceDE w:val="0"/>
        <w:autoSpaceDN w:val="0"/>
        <w:adjustRightInd w:val="0"/>
        <w:rPr>
          <w:b/>
          <w:bCs/>
          <w:color w:val="000000"/>
          <w:sz w:val="22"/>
          <w:szCs w:val="22"/>
        </w:rPr>
        <w:sectPr w:rsidR="00180429" w:rsidSect="008104AD">
          <w:headerReference w:type="default" r:id="rId10"/>
          <w:footerReference w:type="even" r:id="rId11"/>
          <w:footerReference w:type="default" r:id="rId12"/>
          <w:pgSz w:w="12240" w:h="15840"/>
          <w:pgMar w:top="717" w:right="1440" w:bottom="1440" w:left="1440" w:header="576" w:footer="432" w:gutter="0"/>
          <w:cols w:space="720"/>
          <w:noEndnote/>
          <w:docGrid w:linePitch="326"/>
        </w:sectPr>
      </w:pPr>
    </w:p>
    <w:p w14:paraId="73F7E0A9" w14:textId="77777777" w:rsidR="00180429" w:rsidRDefault="00180429">
      <w:pPr>
        <w:autoSpaceDE w:val="0"/>
        <w:autoSpaceDN w:val="0"/>
        <w:adjustRightInd w:val="0"/>
        <w:rPr>
          <w:b/>
          <w:bCs/>
          <w:color w:val="000000"/>
          <w:sz w:val="22"/>
          <w:szCs w:val="22"/>
        </w:rPr>
      </w:pPr>
    </w:p>
    <w:p w14:paraId="1EA4B59D" w14:textId="1E2DEAB6" w:rsidR="00FB4449" w:rsidRPr="00C54368" w:rsidRDefault="00FB4449" w:rsidP="2796D781">
      <w:pPr>
        <w:pBdr>
          <w:bottom w:val="single" w:sz="12" w:space="1" w:color="auto"/>
        </w:pBdr>
        <w:autoSpaceDE w:val="0"/>
        <w:autoSpaceDN w:val="0"/>
        <w:adjustRightInd w:val="0"/>
        <w:rPr>
          <w:rFonts w:asciiTheme="minorHAnsi" w:eastAsiaTheme="minorEastAsia" w:hAnsiTheme="minorHAnsi" w:cstheme="minorBidi"/>
          <w:i/>
          <w:color w:val="000000" w:themeColor="text1"/>
        </w:rPr>
      </w:pPr>
      <w:r w:rsidRPr="00C54368">
        <w:rPr>
          <w:b/>
          <w:bCs/>
          <w:color w:val="000000" w:themeColor="text1"/>
          <w:sz w:val="28"/>
          <w:szCs w:val="28"/>
        </w:rPr>
        <w:t xml:space="preserve">Welcome to the </w:t>
      </w:r>
      <w:r w:rsidR="00C9173D">
        <w:rPr>
          <w:b/>
          <w:bCs/>
          <w:color w:val="000000" w:themeColor="text1"/>
          <w:sz w:val="28"/>
          <w:szCs w:val="28"/>
        </w:rPr>
        <w:t>New</w:t>
      </w:r>
      <w:r w:rsidRPr="00C54368">
        <w:rPr>
          <w:b/>
          <w:bCs/>
          <w:color w:val="000000" w:themeColor="text1"/>
          <w:sz w:val="28"/>
          <w:szCs w:val="28"/>
        </w:rPr>
        <w:t xml:space="preserve"> Budget Quarterly </w:t>
      </w:r>
      <w:proofErr w:type="gramStart"/>
      <w:r w:rsidRPr="00C54368">
        <w:rPr>
          <w:b/>
          <w:bCs/>
          <w:color w:val="000000" w:themeColor="text1"/>
          <w:sz w:val="28"/>
          <w:szCs w:val="28"/>
        </w:rPr>
        <w:t xml:space="preserve">Report  </w:t>
      </w:r>
      <w:r w:rsidRPr="00C54368">
        <w:rPr>
          <w:rFonts w:asciiTheme="minorHAnsi" w:eastAsiaTheme="minorEastAsia" w:hAnsiTheme="minorHAnsi" w:cstheme="minorBidi"/>
          <w:i/>
          <w:color w:val="000000" w:themeColor="text1"/>
        </w:rPr>
        <w:t>The</w:t>
      </w:r>
      <w:proofErr w:type="gramEnd"/>
      <w:r w:rsidRPr="00C54368">
        <w:rPr>
          <w:rFonts w:asciiTheme="minorHAnsi" w:eastAsiaTheme="minorEastAsia" w:hAnsiTheme="minorHAnsi" w:cstheme="minorBidi"/>
          <w:i/>
          <w:color w:val="000000" w:themeColor="text1"/>
        </w:rPr>
        <w:t xml:space="preserve"> content of this report is consistent with prior version</w:t>
      </w:r>
      <w:r w:rsidR="007F33CB">
        <w:rPr>
          <w:rFonts w:asciiTheme="minorHAnsi" w:eastAsiaTheme="minorEastAsia" w:hAnsiTheme="minorHAnsi" w:cstheme="minorBidi"/>
          <w:i/>
          <w:color w:val="000000" w:themeColor="text1"/>
        </w:rPr>
        <w:t>s</w:t>
      </w:r>
      <w:r w:rsidRPr="00C54368">
        <w:rPr>
          <w:rFonts w:asciiTheme="minorHAnsi" w:eastAsiaTheme="minorEastAsia" w:hAnsiTheme="minorHAnsi" w:cstheme="minorBidi"/>
          <w:i/>
          <w:color w:val="000000" w:themeColor="text1"/>
        </w:rPr>
        <w:t xml:space="preserve"> provided in print format.  As the Budget Office, and Durham County Government as an entity, move to a more paper-less work process (in line with Strategic Plan Strategy </w:t>
      </w:r>
      <w:r w:rsidR="00C54368" w:rsidRPr="00C54368">
        <w:rPr>
          <w:rFonts w:asciiTheme="minorHAnsi" w:eastAsiaTheme="minorEastAsia" w:hAnsiTheme="minorHAnsi" w:cstheme="minorBidi"/>
          <w:i/>
          <w:color w:val="000000" w:themeColor="text1"/>
        </w:rPr>
        <w:t>5.3.E)</w:t>
      </w:r>
      <w:r w:rsidRPr="00C54368">
        <w:rPr>
          <w:rFonts w:asciiTheme="minorHAnsi" w:eastAsiaTheme="minorEastAsia" w:hAnsiTheme="minorHAnsi" w:cstheme="minorBidi"/>
          <w:i/>
          <w:color w:val="000000" w:themeColor="text1"/>
        </w:rPr>
        <w:t xml:space="preserve"> we have developed this report with an on-line presentation in mind.</w:t>
      </w:r>
      <w:r w:rsidR="00C54368" w:rsidRPr="00C54368">
        <w:rPr>
          <w:rFonts w:asciiTheme="minorHAnsi" w:eastAsiaTheme="minorEastAsia" w:hAnsiTheme="minorHAnsi" w:cstheme="minorBidi"/>
          <w:i/>
          <w:color w:val="000000" w:themeColor="text1"/>
        </w:rPr>
        <w:t xml:space="preserve"> </w:t>
      </w:r>
      <w:r w:rsidR="007F33CB">
        <w:rPr>
          <w:rFonts w:asciiTheme="minorHAnsi" w:eastAsiaTheme="minorEastAsia" w:hAnsiTheme="minorHAnsi" w:cstheme="minorBidi"/>
          <w:i/>
          <w:color w:val="000000" w:themeColor="text1"/>
        </w:rPr>
        <w:t xml:space="preserve">A </w:t>
      </w:r>
      <w:r w:rsidR="00C54368" w:rsidRPr="00C54368">
        <w:rPr>
          <w:rFonts w:asciiTheme="minorHAnsi" w:eastAsiaTheme="minorEastAsia" w:hAnsiTheme="minorHAnsi" w:cstheme="minorBidi"/>
          <w:i/>
          <w:color w:val="000000" w:themeColor="text1"/>
        </w:rPr>
        <w:t xml:space="preserve">more interactive report / dashboard </w:t>
      </w:r>
      <w:r w:rsidR="007F33CB">
        <w:rPr>
          <w:rFonts w:asciiTheme="minorHAnsi" w:eastAsiaTheme="minorEastAsia" w:hAnsiTheme="minorHAnsi" w:cstheme="minorBidi"/>
          <w:i/>
          <w:color w:val="000000" w:themeColor="text1"/>
        </w:rPr>
        <w:t>is being developed for future quarterly reports</w:t>
      </w:r>
      <w:r w:rsidR="00C54368" w:rsidRPr="00C54368">
        <w:rPr>
          <w:rFonts w:asciiTheme="minorHAnsi" w:eastAsiaTheme="minorEastAsia" w:hAnsiTheme="minorHAnsi" w:cstheme="minorBidi"/>
          <w:i/>
          <w:color w:val="000000" w:themeColor="text1"/>
        </w:rPr>
        <w:t>. While the</w:t>
      </w:r>
      <w:r w:rsidR="007F33CB">
        <w:rPr>
          <w:rFonts w:asciiTheme="minorHAnsi" w:eastAsiaTheme="minorEastAsia" w:hAnsiTheme="minorHAnsi" w:cstheme="minorBidi"/>
          <w:i/>
          <w:color w:val="000000" w:themeColor="text1"/>
        </w:rPr>
        <w:t xml:space="preserve"> core</w:t>
      </w:r>
      <w:r w:rsidR="00C54368" w:rsidRPr="00C54368">
        <w:rPr>
          <w:rFonts w:asciiTheme="minorHAnsi" w:eastAsiaTheme="minorEastAsia" w:hAnsiTheme="minorHAnsi" w:cstheme="minorBidi"/>
          <w:i/>
          <w:color w:val="000000" w:themeColor="text1"/>
        </w:rPr>
        <w:t xml:space="preserve"> content will remain similar</w:t>
      </w:r>
      <w:r w:rsidR="007F33CB">
        <w:rPr>
          <w:rFonts w:asciiTheme="minorHAnsi" w:eastAsiaTheme="minorEastAsia" w:hAnsiTheme="minorHAnsi" w:cstheme="minorBidi"/>
          <w:i/>
          <w:color w:val="000000" w:themeColor="text1"/>
        </w:rPr>
        <w:t>,</w:t>
      </w:r>
      <w:r w:rsidR="00C54368" w:rsidRPr="00C54368">
        <w:rPr>
          <w:rFonts w:asciiTheme="minorHAnsi" w:eastAsiaTheme="minorEastAsia" w:hAnsiTheme="minorHAnsi" w:cstheme="minorBidi"/>
          <w:i/>
          <w:color w:val="000000" w:themeColor="text1"/>
        </w:rPr>
        <w:t xml:space="preserve"> and as transparent, the goal will be to allow a more </w:t>
      </w:r>
      <w:r w:rsidR="007F33CB">
        <w:rPr>
          <w:rFonts w:asciiTheme="minorHAnsi" w:eastAsiaTheme="minorEastAsia" w:hAnsiTheme="minorHAnsi" w:cstheme="minorBidi"/>
          <w:i/>
          <w:color w:val="000000" w:themeColor="text1"/>
        </w:rPr>
        <w:t>user-driven e</w:t>
      </w:r>
      <w:r w:rsidR="00C54368" w:rsidRPr="00C54368">
        <w:rPr>
          <w:rFonts w:asciiTheme="minorHAnsi" w:eastAsiaTheme="minorEastAsia" w:hAnsiTheme="minorHAnsi" w:cstheme="minorBidi"/>
          <w:i/>
          <w:color w:val="000000" w:themeColor="text1"/>
        </w:rPr>
        <w:t xml:space="preserve">xperience where possible allowing </w:t>
      </w:r>
      <w:proofErr w:type="spellStart"/>
      <w:r w:rsidR="007F33CB">
        <w:rPr>
          <w:rFonts w:asciiTheme="minorHAnsi" w:eastAsiaTheme="minorEastAsia" w:hAnsiTheme="minorHAnsi" w:cstheme="minorBidi"/>
          <w:i/>
          <w:color w:val="000000" w:themeColor="text1"/>
        </w:rPr>
        <w:t>one</w:t>
      </w:r>
      <w:proofErr w:type="spellEnd"/>
      <w:r w:rsidR="00C54368" w:rsidRPr="00C54368">
        <w:rPr>
          <w:rFonts w:asciiTheme="minorHAnsi" w:eastAsiaTheme="minorEastAsia" w:hAnsiTheme="minorHAnsi" w:cstheme="minorBidi"/>
          <w:i/>
          <w:color w:val="000000" w:themeColor="text1"/>
        </w:rPr>
        <w:t xml:space="preserve"> to delve a little deeper into areas of interest.</w:t>
      </w:r>
    </w:p>
    <w:p w14:paraId="0FD2347C" w14:textId="77777777" w:rsidR="00FB4449" w:rsidRDefault="00FB4449" w:rsidP="2796D781">
      <w:pPr>
        <w:pBdr>
          <w:bottom w:val="single" w:sz="12" w:space="1" w:color="auto"/>
        </w:pBdr>
        <w:autoSpaceDE w:val="0"/>
        <w:autoSpaceDN w:val="0"/>
        <w:adjustRightInd w:val="0"/>
        <w:rPr>
          <w:b/>
          <w:bCs/>
          <w:color w:val="000000" w:themeColor="text1"/>
          <w:sz w:val="28"/>
          <w:szCs w:val="28"/>
        </w:rPr>
      </w:pPr>
    </w:p>
    <w:p w14:paraId="2D419FC6" w14:textId="2FD81609" w:rsidR="00180429" w:rsidRDefault="2796D781" w:rsidP="2796D781">
      <w:pPr>
        <w:pBdr>
          <w:bottom w:val="single" w:sz="12" w:space="1" w:color="auto"/>
        </w:pBdr>
        <w:autoSpaceDE w:val="0"/>
        <w:autoSpaceDN w:val="0"/>
        <w:adjustRightInd w:val="0"/>
        <w:rPr>
          <w:b/>
          <w:bCs/>
          <w:color w:val="000000" w:themeColor="text1"/>
          <w:sz w:val="28"/>
          <w:szCs w:val="28"/>
        </w:rPr>
      </w:pPr>
      <w:r w:rsidRPr="2796D781">
        <w:rPr>
          <w:b/>
          <w:bCs/>
          <w:color w:val="000000" w:themeColor="text1"/>
          <w:sz w:val="28"/>
          <w:szCs w:val="28"/>
        </w:rPr>
        <w:t>OVERVIEW</w:t>
      </w:r>
    </w:p>
    <w:p w14:paraId="2EEF022F" w14:textId="77777777" w:rsidR="00180429" w:rsidRDefault="00180429">
      <w:pPr>
        <w:autoSpaceDE w:val="0"/>
        <w:autoSpaceDN w:val="0"/>
        <w:adjustRightInd w:val="0"/>
        <w:rPr>
          <w:color w:val="000000"/>
          <w:sz w:val="22"/>
          <w:szCs w:val="22"/>
        </w:rPr>
      </w:pPr>
    </w:p>
    <w:p w14:paraId="292776CC" w14:textId="1087CBDE" w:rsidR="005249A3" w:rsidRDefault="05DC982A" w:rsidP="05DC982A">
      <w:pPr>
        <w:autoSpaceDE w:val="0"/>
        <w:autoSpaceDN w:val="0"/>
        <w:adjustRightInd w:val="0"/>
        <w:jc w:val="both"/>
        <w:rPr>
          <w:rFonts w:asciiTheme="minorHAnsi" w:eastAsiaTheme="minorEastAsia" w:hAnsiTheme="minorHAnsi" w:cstheme="minorBidi"/>
          <w:color w:val="000000" w:themeColor="text1"/>
        </w:rPr>
      </w:pPr>
      <w:r w:rsidRPr="05DC982A">
        <w:rPr>
          <w:rFonts w:asciiTheme="minorHAnsi" w:eastAsiaTheme="minorEastAsia" w:hAnsiTheme="minorHAnsi" w:cstheme="minorBidi"/>
          <w:color w:val="000000" w:themeColor="text1"/>
        </w:rPr>
        <w:t>The accompanying tables summarize the recognized revenues and expenditures for Durham County’s General Fund</w:t>
      </w:r>
      <w:r w:rsidR="00FB4449">
        <w:rPr>
          <w:rFonts w:asciiTheme="minorHAnsi" w:eastAsiaTheme="minorEastAsia" w:hAnsiTheme="minorHAnsi" w:cstheme="minorBidi"/>
          <w:color w:val="000000" w:themeColor="text1"/>
        </w:rPr>
        <w:t>,</w:t>
      </w:r>
      <w:r w:rsidRPr="05DC982A">
        <w:rPr>
          <w:rFonts w:asciiTheme="minorHAnsi" w:eastAsiaTheme="minorEastAsia" w:hAnsiTheme="minorHAnsi" w:cstheme="minorBidi"/>
          <w:color w:val="000000" w:themeColor="text1"/>
        </w:rPr>
        <w:t xml:space="preserve"> Capital Improvement Fund </w:t>
      </w:r>
      <w:r w:rsidR="00FB4449">
        <w:rPr>
          <w:rFonts w:asciiTheme="minorHAnsi" w:eastAsiaTheme="minorEastAsia" w:hAnsiTheme="minorHAnsi" w:cstheme="minorBidi"/>
          <w:color w:val="000000" w:themeColor="text1"/>
        </w:rPr>
        <w:t xml:space="preserve">and Reappraisal Reserve Fund </w:t>
      </w:r>
      <w:r w:rsidRPr="05DC982A">
        <w:rPr>
          <w:rFonts w:asciiTheme="minorHAnsi" w:eastAsiaTheme="minorEastAsia" w:hAnsiTheme="minorHAnsi" w:cstheme="minorBidi"/>
          <w:color w:val="000000" w:themeColor="text1"/>
        </w:rPr>
        <w:t>through September 30, 201</w:t>
      </w:r>
      <w:r w:rsidR="000C7B06">
        <w:rPr>
          <w:rFonts w:asciiTheme="minorHAnsi" w:eastAsiaTheme="minorEastAsia" w:hAnsiTheme="minorHAnsi" w:cstheme="minorBidi"/>
          <w:color w:val="000000" w:themeColor="text1"/>
        </w:rPr>
        <w:t>8</w:t>
      </w:r>
      <w:r w:rsidRPr="05DC982A">
        <w:rPr>
          <w:rFonts w:asciiTheme="minorHAnsi" w:eastAsiaTheme="minorEastAsia" w:hAnsiTheme="minorHAnsi" w:cstheme="minorBidi"/>
          <w:color w:val="000000" w:themeColor="text1"/>
        </w:rPr>
        <w:t xml:space="preserve">. Please note that 4-year First Quarter Averages have been provided for comparison. This average reflects what was reported in the First Quarter Report for the four preceding fiscal years. </w:t>
      </w:r>
    </w:p>
    <w:p w14:paraId="3CAD9605" w14:textId="77777777" w:rsidR="005249A3" w:rsidRDefault="005249A3" w:rsidP="05DC982A">
      <w:pPr>
        <w:autoSpaceDE w:val="0"/>
        <w:autoSpaceDN w:val="0"/>
        <w:adjustRightInd w:val="0"/>
        <w:jc w:val="both"/>
        <w:rPr>
          <w:rFonts w:asciiTheme="minorHAnsi" w:eastAsiaTheme="minorEastAsia" w:hAnsiTheme="minorHAnsi" w:cstheme="minorBidi"/>
          <w:color w:val="000000" w:themeColor="text1"/>
        </w:rPr>
      </w:pPr>
    </w:p>
    <w:p w14:paraId="61DE751B" w14:textId="16C55489" w:rsidR="00FB4449" w:rsidRDefault="05DC982A" w:rsidP="05DC982A">
      <w:pPr>
        <w:autoSpaceDE w:val="0"/>
        <w:autoSpaceDN w:val="0"/>
        <w:adjustRightInd w:val="0"/>
        <w:jc w:val="both"/>
        <w:rPr>
          <w:rFonts w:asciiTheme="minorHAnsi" w:eastAsiaTheme="minorEastAsia" w:hAnsiTheme="minorHAnsi" w:cstheme="minorBidi"/>
          <w:color w:val="000000" w:themeColor="text1"/>
        </w:rPr>
      </w:pPr>
      <w:r w:rsidRPr="05DC982A">
        <w:rPr>
          <w:rFonts w:asciiTheme="minorHAnsi" w:eastAsiaTheme="minorEastAsia" w:hAnsiTheme="minorHAnsi" w:cstheme="minorBidi"/>
          <w:color w:val="000000" w:themeColor="text1"/>
        </w:rPr>
        <w:t>Additionally, a dashboard representation is provided as a convenient way to monitor the progress of FY 201</w:t>
      </w:r>
      <w:r w:rsidR="000C7B06">
        <w:rPr>
          <w:rFonts w:asciiTheme="minorHAnsi" w:eastAsiaTheme="minorEastAsia" w:hAnsiTheme="minorHAnsi" w:cstheme="minorBidi"/>
          <w:color w:val="000000" w:themeColor="text1"/>
        </w:rPr>
        <w:t>8</w:t>
      </w:r>
      <w:r w:rsidRPr="05DC982A">
        <w:rPr>
          <w:rFonts w:asciiTheme="minorHAnsi" w:eastAsiaTheme="minorEastAsia" w:hAnsiTheme="minorHAnsi" w:cstheme="minorBidi"/>
          <w:color w:val="000000" w:themeColor="text1"/>
        </w:rPr>
        <w:t>-1</w:t>
      </w:r>
      <w:r w:rsidR="000C7B06">
        <w:rPr>
          <w:rFonts w:asciiTheme="minorHAnsi" w:eastAsiaTheme="minorEastAsia" w:hAnsiTheme="minorHAnsi" w:cstheme="minorBidi"/>
          <w:color w:val="000000" w:themeColor="text1"/>
        </w:rPr>
        <w:t>9</w:t>
      </w:r>
      <w:r w:rsidRPr="05DC982A">
        <w:rPr>
          <w:rFonts w:asciiTheme="minorHAnsi" w:eastAsiaTheme="minorEastAsia" w:hAnsiTheme="minorHAnsi" w:cstheme="minorBidi"/>
          <w:color w:val="000000" w:themeColor="text1"/>
        </w:rPr>
        <w:t xml:space="preserve"> revenues and expenditures. The dashboard </w:t>
      </w:r>
      <w:r w:rsidR="00E25B75">
        <w:rPr>
          <w:rFonts w:asciiTheme="minorHAnsi" w:eastAsiaTheme="minorEastAsia" w:hAnsiTheme="minorHAnsi" w:cstheme="minorBidi"/>
          <w:color w:val="000000" w:themeColor="text1"/>
        </w:rPr>
        <w:t xml:space="preserve">uses </w:t>
      </w:r>
      <w:r w:rsidR="003B2D21">
        <w:rPr>
          <w:rFonts w:asciiTheme="minorHAnsi" w:eastAsiaTheme="minorEastAsia" w:hAnsiTheme="minorHAnsi" w:cstheme="minorBidi"/>
          <w:color w:val="000000" w:themeColor="text1"/>
        </w:rPr>
        <w:t xml:space="preserve">a </w:t>
      </w:r>
      <w:r w:rsidR="001A38B3">
        <w:rPr>
          <w:rFonts w:asciiTheme="minorHAnsi" w:eastAsiaTheme="minorEastAsia" w:hAnsiTheme="minorHAnsi" w:cstheme="minorBidi"/>
          <w:color w:val="000000" w:themeColor="text1"/>
        </w:rPr>
        <w:t>“</w:t>
      </w:r>
      <w:r w:rsidR="00E25B75">
        <w:rPr>
          <w:rFonts w:asciiTheme="minorHAnsi" w:eastAsiaTheme="minorEastAsia" w:hAnsiTheme="minorHAnsi" w:cstheme="minorBidi"/>
          <w:color w:val="000000" w:themeColor="text1"/>
        </w:rPr>
        <w:t>traffic light</w:t>
      </w:r>
      <w:r w:rsidR="001A38B3">
        <w:rPr>
          <w:rFonts w:asciiTheme="minorHAnsi" w:eastAsiaTheme="minorEastAsia" w:hAnsiTheme="minorHAnsi" w:cstheme="minorBidi"/>
          <w:color w:val="000000" w:themeColor="text1"/>
        </w:rPr>
        <w:t>” indicator to</w:t>
      </w:r>
      <w:r w:rsidR="00E25B75">
        <w:rPr>
          <w:rFonts w:asciiTheme="minorHAnsi" w:eastAsiaTheme="minorEastAsia" w:hAnsiTheme="minorHAnsi" w:cstheme="minorBidi"/>
          <w:color w:val="000000" w:themeColor="text1"/>
        </w:rPr>
        <w:t xml:space="preserve"> </w:t>
      </w:r>
      <w:r w:rsidRPr="05DC982A">
        <w:rPr>
          <w:rFonts w:asciiTheme="minorHAnsi" w:eastAsiaTheme="minorEastAsia" w:hAnsiTheme="minorHAnsi" w:cstheme="minorBidi"/>
          <w:color w:val="000000" w:themeColor="text1"/>
        </w:rPr>
        <w:t>represent where agencies’ revenues and expenditures are in comparison to a 4-year First Quarter Average.</w:t>
      </w:r>
      <w:r w:rsidR="00FB4449">
        <w:rPr>
          <w:rFonts w:asciiTheme="minorHAnsi" w:eastAsiaTheme="minorEastAsia" w:hAnsiTheme="minorHAnsi" w:cstheme="minorBidi"/>
          <w:color w:val="000000" w:themeColor="text1"/>
        </w:rPr>
        <w:t xml:space="preserve">  The simple indicator alone is not a cause for concern, rather an area th</w:t>
      </w:r>
      <w:r w:rsidR="007F33CB">
        <w:rPr>
          <w:rFonts w:asciiTheme="minorHAnsi" w:eastAsiaTheme="minorEastAsia" w:hAnsiTheme="minorHAnsi" w:cstheme="minorBidi"/>
          <w:color w:val="000000" w:themeColor="text1"/>
        </w:rPr>
        <w:t>at</w:t>
      </w:r>
      <w:r w:rsidR="00FB4449">
        <w:rPr>
          <w:rFonts w:asciiTheme="minorHAnsi" w:eastAsiaTheme="minorEastAsia" w:hAnsiTheme="minorHAnsi" w:cstheme="minorBidi"/>
          <w:color w:val="000000" w:themeColor="text1"/>
        </w:rPr>
        <w:t xml:space="preserve"> merits </w:t>
      </w:r>
      <w:r w:rsidR="007F33CB">
        <w:rPr>
          <w:rFonts w:asciiTheme="minorHAnsi" w:eastAsiaTheme="minorEastAsia" w:hAnsiTheme="minorHAnsi" w:cstheme="minorBidi"/>
          <w:color w:val="000000" w:themeColor="text1"/>
        </w:rPr>
        <w:t>a second look</w:t>
      </w:r>
      <w:r w:rsidR="00FB4449">
        <w:rPr>
          <w:rFonts w:asciiTheme="minorHAnsi" w:eastAsiaTheme="minorEastAsia" w:hAnsiTheme="minorHAnsi" w:cstheme="minorBidi"/>
          <w:color w:val="000000" w:themeColor="text1"/>
        </w:rPr>
        <w:t xml:space="preserve">. For all “red light” indicators an overview of the </w:t>
      </w:r>
      <w:r w:rsidR="007F33CB">
        <w:rPr>
          <w:rFonts w:asciiTheme="minorHAnsi" w:eastAsiaTheme="minorEastAsia" w:hAnsiTheme="minorHAnsi" w:cstheme="minorBidi"/>
          <w:color w:val="000000" w:themeColor="text1"/>
        </w:rPr>
        <w:t>cause</w:t>
      </w:r>
      <w:r w:rsidR="00FB4449">
        <w:rPr>
          <w:rFonts w:asciiTheme="minorHAnsi" w:eastAsiaTheme="minorEastAsia" w:hAnsiTheme="minorHAnsi" w:cstheme="minorBidi"/>
          <w:color w:val="000000" w:themeColor="text1"/>
        </w:rPr>
        <w:t xml:space="preserve"> is provided.</w:t>
      </w:r>
    </w:p>
    <w:p w14:paraId="14F8D4F3" w14:textId="77777777" w:rsidR="00FB4449" w:rsidRDefault="00FB4449" w:rsidP="00FB4449">
      <w:pPr>
        <w:autoSpaceDE w:val="0"/>
        <w:autoSpaceDN w:val="0"/>
        <w:adjustRightInd w:val="0"/>
        <w:jc w:val="both"/>
        <w:rPr>
          <w:rFonts w:asciiTheme="minorHAnsi" w:eastAsiaTheme="minorEastAsia" w:hAnsiTheme="minorHAnsi" w:cstheme="minorBidi"/>
          <w:color w:val="000000" w:themeColor="text1"/>
        </w:rPr>
      </w:pPr>
    </w:p>
    <w:p w14:paraId="41D957F9" w14:textId="51C1DAEF" w:rsidR="00180429" w:rsidRDefault="05DC982A" w:rsidP="00FB4449">
      <w:pPr>
        <w:autoSpaceDE w:val="0"/>
        <w:autoSpaceDN w:val="0"/>
        <w:adjustRightInd w:val="0"/>
        <w:jc w:val="both"/>
        <w:rPr>
          <w:rFonts w:asciiTheme="minorHAnsi" w:eastAsiaTheme="minorEastAsia" w:hAnsiTheme="minorHAnsi" w:cstheme="minorBidi"/>
          <w:color w:val="000000" w:themeColor="text1"/>
        </w:rPr>
      </w:pPr>
      <w:r w:rsidRPr="05DC982A">
        <w:rPr>
          <w:rFonts w:asciiTheme="minorHAnsi" w:eastAsiaTheme="minorEastAsia" w:hAnsiTheme="minorHAnsi" w:cstheme="minorBidi"/>
          <w:color w:val="000000" w:themeColor="text1"/>
        </w:rPr>
        <w:t>For revenues, green represents revenues at 90% or greater than the average, yellow represents revenues between 70% and up to 90% of the average, and red represents revenues below 70% of the average. For expenditures, green represents expenditures not more than 2% greater than the average, yellow represents expenditures between 2% and 5% greater than the average, and red represents expenditures greater than 5% of the average.</w:t>
      </w:r>
    </w:p>
    <w:p w14:paraId="2F1938EB" w14:textId="77777777" w:rsidR="00FD65EF" w:rsidRPr="007F33CB" w:rsidRDefault="00FD65EF" w:rsidP="05DC982A">
      <w:pPr>
        <w:autoSpaceDE w:val="0"/>
        <w:autoSpaceDN w:val="0"/>
        <w:adjustRightInd w:val="0"/>
        <w:jc w:val="both"/>
        <w:rPr>
          <w:rFonts w:asciiTheme="minorHAnsi" w:eastAsiaTheme="minorEastAsia" w:hAnsiTheme="minorHAnsi" w:cstheme="minorBidi"/>
          <w:color w:val="000000" w:themeColor="text1"/>
        </w:rPr>
      </w:pPr>
    </w:p>
    <w:p w14:paraId="1C8B1E35" w14:textId="77777777" w:rsidR="00A11DBD" w:rsidRDefault="00A11DBD" w:rsidP="05DC982A">
      <w:pPr>
        <w:autoSpaceDE w:val="0"/>
        <w:autoSpaceDN w:val="0"/>
        <w:adjustRightInd w:val="0"/>
        <w:jc w:val="both"/>
        <w:rPr>
          <w:rFonts w:asciiTheme="minorHAnsi" w:eastAsiaTheme="minorEastAsia" w:hAnsiTheme="minorHAnsi" w:cstheme="minorBidi"/>
          <w:b/>
          <w:bCs/>
          <w:color w:val="000000" w:themeColor="text1"/>
        </w:rPr>
      </w:pPr>
    </w:p>
    <w:p w14:paraId="6CB46867" w14:textId="77777777" w:rsidR="00180429" w:rsidRDefault="05DC982A" w:rsidP="05DC982A">
      <w:pPr>
        <w:pBdr>
          <w:bottom w:val="single" w:sz="4" w:space="1" w:color="auto"/>
        </w:pBdr>
        <w:autoSpaceDE w:val="0"/>
        <w:autoSpaceDN w:val="0"/>
        <w:adjustRightInd w:val="0"/>
        <w:jc w:val="both"/>
        <w:rPr>
          <w:rFonts w:asciiTheme="minorHAnsi" w:eastAsiaTheme="minorEastAsia" w:hAnsiTheme="minorHAnsi" w:cstheme="minorBidi"/>
          <w:b/>
          <w:bCs/>
          <w:color w:val="FFFFFF" w:themeColor="background1"/>
        </w:rPr>
      </w:pPr>
      <w:r w:rsidRPr="05DC982A">
        <w:rPr>
          <w:rFonts w:asciiTheme="minorHAnsi" w:eastAsiaTheme="minorEastAsia" w:hAnsiTheme="minorHAnsi" w:cstheme="minorBidi"/>
          <w:b/>
          <w:bCs/>
          <w:color w:val="000000" w:themeColor="text1"/>
        </w:rPr>
        <w:t>EXECUTIVE SUMMARY</w:t>
      </w:r>
    </w:p>
    <w:p w14:paraId="04688CC1" w14:textId="77777777" w:rsidR="00180429" w:rsidRDefault="00180429" w:rsidP="05DC982A">
      <w:pPr>
        <w:pBdr>
          <w:top w:val="single" w:sz="4" w:space="1" w:color="auto"/>
        </w:pBdr>
        <w:autoSpaceDE w:val="0"/>
        <w:autoSpaceDN w:val="0"/>
        <w:adjustRightInd w:val="0"/>
        <w:jc w:val="both"/>
        <w:rPr>
          <w:rFonts w:asciiTheme="minorHAnsi" w:eastAsiaTheme="minorEastAsia" w:hAnsiTheme="minorHAnsi" w:cstheme="minorBidi"/>
          <w:b/>
          <w:bCs/>
          <w:color w:val="000000" w:themeColor="text1"/>
        </w:rPr>
      </w:pPr>
    </w:p>
    <w:p w14:paraId="62574980" w14:textId="69DC3F5C" w:rsidR="006E7359" w:rsidRDefault="05DC982A" w:rsidP="05DC982A">
      <w:pPr>
        <w:autoSpaceDE w:val="0"/>
        <w:autoSpaceDN w:val="0"/>
        <w:adjustRightInd w:val="0"/>
        <w:jc w:val="both"/>
        <w:rPr>
          <w:rFonts w:asciiTheme="minorHAnsi" w:eastAsiaTheme="minorEastAsia" w:hAnsiTheme="minorHAnsi" w:cstheme="minorBidi"/>
          <w:color w:val="000000" w:themeColor="text1"/>
        </w:rPr>
      </w:pPr>
      <w:r w:rsidRPr="05DC982A">
        <w:rPr>
          <w:rFonts w:asciiTheme="minorHAnsi" w:eastAsiaTheme="minorEastAsia" w:hAnsiTheme="minorHAnsi" w:cstheme="minorBidi"/>
          <w:b/>
          <w:bCs/>
          <w:i/>
          <w:iCs/>
          <w:color w:val="000000" w:themeColor="text1"/>
        </w:rPr>
        <w:t xml:space="preserve">Revenues. </w:t>
      </w:r>
      <w:r w:rsidRPr="05DC982A">
        <w:rPr>
          <w:rFonts w:asciiTheme="minorHAnsi" w:eastAsiaTheme="minorEastAsia" w:hAnsiTheme="minorHAnsi" w:cstheme="minorBidi"/>
          <w:color w:val="000000" w:themeColor="text1"/>
        </w:rPr>
        <w:t>Through September 30, 201</w:t>
      </w:r>
      <w:r w:rsidR="000C7B06">
        <w:rPr>
          <w:rFonts w:asciiTheme="minorHAnsi" w:eastAsiaTheme="minorEastAsia" w:hAnsiTheme="minorHAnsi" w:cstheme="minorBidi"/>
          <w:color w:val="000000" w:themeColor="text1"/>
        </w:rPr>
        <w:t>8</w:t>
      </w:r>
      <w:r w:rsidRPr="05DC982A">
        <w:rPr>
          <w:rFonts w:asciiTheme="minorHAnsi" w:eastAsiaTheme="minorEastAsia" w:hAnsiTheme="minorHAnsi" w:cstheme="minorBidi"/>
          <w:color w:val="000000" w:themeColor="text1"/>
        </w:rPr>
        <w:t xml:space="preserve">, the </w:t>
      </w:r>
      <w:r w:rsidRPr="00C54368">
        <w:rPr>
          <w:rFonts w:asciiTheme="minorHAnsi" w:eastAsiaTheme="minorEastAsia" w:hAnsiTheme="minorHAnsi" w:cstheme="minorBidi"/>
          <w:color w:val="000000" w:themeColor="text1"/>
        </w:rPr>
        <w:t>County collected $</w:t>
      </w:r>
      <w:r w:rsidR="000559BA" w:rsidRPr="00C54368">
        <w:rPr>
          <w:rFonts w:asciiTheme="minorHAnsi" w:eastAsiaTheme="minorEastAsia" w:hAnsiTheme="minorHAnsi" w:cstheme="minorBidi"/>
          <w:color w:val="000000" w:themeColor="text1"/>
        </w:rPr>
        <w:t>5</w:t>
      </w:r>
      <w:r w:rsidR="003B2D21" w:rsidRPr="00C54368">
        <w:rPr>
          <w:rFonts w:asciiTheme="minorHAnsi" w:eastAsiaTheme="minorEastAsia" w:hAnsiTheme="minorHAnsi" w:cstheme="minorBidi"/>
          <w:color w:val="000000" w:themeColor="text1"/>
        </w:rPr>
        <w:t>6</w:t>
      </w:r>
      <w:r w:rsidR="007472D6" w:rsidRPr="00C54368">
        <w:rPr>
          <w:rFonts w:asciiTheme="minorHAnsi" w:eastAsiaTheme="minorEastAsia" w:hAnsiTheme="minorHAnsi" w:cstheme="minorBidi"/>
          <w:color w:val="000000" w:themeColor="text1"/>
        </w:rPr>
        <w:t>,</w:t>
      </w:r>
      <w:r w:rsidR="003B2D21" w:rsidRPr="00C54368">
        <w:rPr>
          <w:rFonts w:asciiTheme="minorHAnsi" w:eastAsiaTheme="minorEastAsia" w:hAnsiTheme="minorHAnsi" w:cstheme="minorBidi"/>
          <w:color w:val="000000" w:themeColor="text1"/>
        </w:rPr>
        <w:t>452</w:t>
      </w:r>
      <w:r w:rsidR="007472D6" w:rsidRPr="00C54368">
        <w:rPr>
          <w:rFonts w:asciiTheme="minorHAnsi" w:eastAsiaTheme="minorEastAsia" w:hAnsiTheme="minorHAnsi" w:cstheme="minorBidi"/>
          <w:color w:val="000000" w:themeColor="text1"/>
        </w:rPr>
        <w:t>,</w:t>
      </w:r>
      <w:r w:rsidR="003B2D21" w:rsidRPr="00C54368">
        <w:rPr>
          <w:rFonts w:asciiTheme="minorHAnsi" w:eastAsiaTheme="minorEastAsia" w:hAnsiTheme="minorHAnsi" w:cstheme="minorBidi"/>
          <w:color w:val="000000" w:themeColor="text1"/>
        </w:rPr>
        <w:t>933</w:t>
      </w:r>
      <w:r w:rsidRPr="00C54368">
        <w:rPr>
          <w:rFonts w:asciiTheme="minorHAnsi" w:eastAsiaTheme="minorEastAsia" w:hAnsiTheme="minorHAnsi" w:cstheme="minorBidi"/>
          <w:color w:val="000000" w:themeColor="text1"/>
        </w:rPr>
        <w:t xml:space="preserve"> or 1</w:t>
      </w:r>
      <w:r w:rsidR="003B2D21" w:rsidRPr="00C54368">
        <w:rPr>
          <w:rFonts w:asciiTheme="minorHAnsi" w:eastAsiaTheme="minorEastAsia" w:hAnsiTheme="minorHAnsi" w:cstheme="minorBidi"/>
          <w:color w:val="000000" w:themeColor="text1"/>
        </w:rPr>
        <w:t>0</w:t>
      </w:r>
      <w:r w:rsidRPr="00C54368">
        <w:rPr>
          <w:rFonts w:asciiTheme="minorHAnsi" w:eastAsiaTheme="minorEastAsia" w:hAnsiTheme="minorHAnsi" w:cstheme="minorBidi"/>
          <w:color w:val="000000" w:themeColor="text1"/>
        </w:rPr>
        <w:t>.</w:t>
      </w:r>
      <w:r w:rsidR="003B2D21" w:rsidRPr="00C54368">
        <w:rPr>
          <w:rFonts w:asciiTheme="minorHAnsi" w:eastAsiaTheme="minorEastAsia" w:hAnsiTheme="minorHAnsi" w:cstheme="minorBidi"/>
          <w:color w:val="000000" w:themeColor="text1"/>
        </w:rPr>
        <w:t>89</w:t>
      </w:r>
      <w:r w:rsidRPr="00C54368">
        <w:rPr>
          <w:rFonts w:asciiTheme="minorHAnsi" w:eastAsiaTheme="minorEastAsia" w:hAnsiTheme="minorHAnsi" w:cstheme="minorBidi"/>
          <w:color w:val="000000" w:themeColor="text1"/>
        </w:rPr>
        <w:t>%</w:t>
      </w:r>
      <w:r w:rsidRPr="05DC982A">
        <w:rPr>
          <w:rFonts w:asciiTheme="minorHAnsi" w:eastAsiaTheme="minorEastAsia" w:hAnsiTheme="minorHAnsi" w:cstheme="minorBidi"/>
          <w:color w:val="000000" w:themeColor="text1"/>
        </w:rPr>
        <w:t xml:space="preserve"> of the budgeted General Fund</w:t>
      </w:r>
      <w:r w:rsidR="00C54368">
        <w:rPr>
          <w:rFonts w:asciiTheme="minorHAnsi" w:eastAsiaTheme="minorEastAsia" w:hAnsiTheme="minorHAnsi" w:cstheme="minorBidi"/>
          <w:color w:val="000000" w:themeColor="text1"/>
        </w:rPr>
        <w:t>,</w:t>
      </w:r>
      <w:r w:rsidRPr="05DC982A">
        <w:rPr>
          <w:rFonts w:asciiTheme="minorHAnsi" w:eastAsiaTheme="minorEastAsia" w:hAnsiTheme="minorHAnsi" w:cstheme="minorBidi"/>
          <w:color w:val="000000" w:themeColor="text1"/>
        </w:rPr>
        <w:t xml:space="preserve"> Capital Improvement Fund </w:t>
      </w:r>
      <w:r w:rsidR="00C54368">
        <w:rPr>
          <w:rFonts w:asciiTheme="minorHAnsi" w:eastAsiaTheme="minorEastAsia" w:hAnsiTheme="minorHAnsi" w:cstheme="minorBidi"/>
          <w:color w:val="000000" w:themeColor="text1"/>
        </w:rPr>
        <w:t xml:space="preserve">and Reappraisal Reserve Fund </w:t>
      </w:r>
      <w:r w:rsidRPr="05DC982A">
        <w:rPr>
          <w:rFonts w:asciiTheme="minorHAnsi" w:eastAsiaTheme="minorEastAsia" w:hAnsiTheme="minorHAnsi" w:cstheme="minorBidi"/>
          <w:color w:val="000000" w:themeColor="text1"/>
        </w:rPr>
        <w:t xml:space="preserve">revenue. Two of the most significant revenues in these funds, property tax and sales tax revenue collections, traditionally are not received </w:t>
      </w:r>
      <w:r w:rsidR="00431A52">
        <w:rPr>
          <w:rFonts w:asciiTheme="minorHAnsi" w:eastAsiaTheme="minorEastAsia" w:hAnsiTheme="minorHAnsi" w:cstheme="minorBidi"/>
          <w:color w:val="000000" w:themeColor="text1"/>
        </w:rPr>
        <w:t xml:space="preserve">in large parts </w:t>
      </w:r>
      <w:r w:rsidRPr="05DC982A">
        <w:rPr>
          <w:rFonts w:asciiTheme="minorHAnsi" w:eastAsiaTheme="minorEastAsia" w:hAnsiTheme="minorHAnsi" w:cstheme="minorBidi"/>
          <w:color w:val="000000" w:themeColor="text1"/>
        </w:rPr>
        <w:t xml:space="preserve">until the Second Quarter of the fiscal year. </w:t>
      </w:r>
    </w:p>
    <w:p w14:paraId="7D16CBA0" w14:textId="79827EBC" w:rsidR="006E7359" w:rsidRPr="001817B8" w:rsidRDefault="05DC982A" w:rsidP="05DC982A">
      <w:pPr>
        <w:autoSpaceDE w:val="0"/>
        <w:autoSpaceDN w:val="0"/>
        <w:adjustRightInd w:val="0"/>
        <w:jc w:val="both"/>
        <w:rPr>
          <w:rFonts w:asciiTheme="minorHAnsi" w:eastAsiaTheme="minorEastAsia" w:hAnsiTheme="minorHAnsi" w:cstheme="minorBidi"/>
          <w:color w:val="000000" w:themeColor="text1"/>
          <w:highlight w:val="yellow"/>
        </w:rPr>
      </w:pPr>
      <w:r w:rsidRPr="00431A52">
        <w:rPr>
          <w:rFonts w:asciiTheme="minorHAnsi" w:eastAsiaTheme="minorEastAsia" w:hAnsiTheme="minorHAnsi" w:cstheme="minorBidi"/>
          <w:color w:val="000000" w:themeColor="text1"/>
        </w:rPr>
        <w:t>Current year property tax collection</w:t>
      </w:r>
      <w:r w:rsidR="001B1204" w:rsidRPr="00431A52">
        <w:rPr>
          <w:rFonts w:asciiTheme="minorHAnsi" w:eastAsiaTheme="minorEastAsia" w:hAnsiTheme="minorHAnsi" w:cstheme="minorBidi"/>
          <w:color w:val="000000" w:themeColor="text1"/>
        </w:rPr>
        <w:t>, which is the largest single revenue source for Durham County,</w:t>
      </w:r>
      <w:r w:rsidRPr="00431A52">
        <w:rPr>
          <w:rFonts w:asciiTheme="minorHAnsi" w:eastAsiaTheme="minorEastAsia" w:hAnsiTheme="minorHAnsi" w:cstheme="minorBidi"/>
          <w:color w:val="000000" w:themeColor="text1"/>
        </w:rPr>
        <w:t xml:space="preserve"> is </w:t>
      </w:r>
      <w:r w:rsidR="00431A52">
        <w:rPr>
          <w:rFonts w:asciiTheme="minorHAnsi" w:eastAsiaTheme="minorEastAsia" w:hAnsiTheme="minorHAnsi" w:cstheme="minorBidi"/>
          <w:color w:val="000000" w:themeColor="text1"/>
        </w:rPr>
        <w:t>slightly above</w:t>
      </w:r>
      <w:r w:rsidR="001B1204" w:rsidRPr="00431A52">
        <w:rPr>
          <w:rFonts w:asciiTheme="minorHAnsi" w:eastAsiaTheme="minorEastAsia" w:hAnsiTheme="minorHAnsi" w:cstheme="minorBidi"/>
          <w:color w:val="000000" w:themeColor="text1"/>
        </w:rPr>
        <w:t xml:space="preserve"> </w:t>
      </w:r>
      <w:r w:rsidRPr="00431A52">
        <w:rPr>
          <w:rFonts w:asciiTheme="minorHAnsi" w:eastAsiaTheme="minorEastAsia" w:hAnsiTheme="minorHAnsi" w:cstheme="minorBidi"/>
          <w:color w:val="000000" w:themeColor="text1"/>
        </w:rPr>
        <w:t>the 1</w:t>
      </w:r>
      <w:r w:rsidRPr="00431A52">
        <w:rPr>
          <w:rFonts w:asciiTheme="minorHAnsi" w:eastAsiaTheme="minorEastAsia" w:hAnsiTheme="minorHAnsi" w:cstheme="minorBidi"/>
          <w:color w:val="000000" w:themeColor="text1"/>
          <w:vertAlign w:val="superscript"/>
        </w:rPr>
        <w:t>st</w:t>
      </w:r>
      <w:r w:rsidRPr="00431A52">
        <w:rPr>
          <w:rFonts w:asciiTheme="minorHAnsi" w:eastAsiaTheme="minorEastAsia" w:hAnsiTheme="minorHAnsi" w:cstheme="minorBidi"/>
          <w:color w:val="000000" w:themeColor="text1"/>
        </w:rPr>
        <w:t xml:space="preserve"> Quarter 4-year average (13.</w:t>
      </w:r>
      <w:r w:rsidR="000559BA" w:rsidRPr="00431A52">
        <w:rPr>
          <w:rFonts w:asciiTheme="minorHAnsi" w:eastAsiaTheme="minorEastAsia" w:hAnsiTheme="minorHAnsi" w:cstheme="minorBidi"/>
          <w:color w:val="000000" w:themeColor="text1"/>
        </w:rPr>
        <w:t>56</w:t>
      </w:r>
      <w:r w:rsidRPr="00431A52">
        <w:rPr>
          <w:rFonts w:asciiTheme="minorHAnsi" w:eastAsiaTheme="minorEastAsia" w:hAnsiTheme="minorHAnsi" w:cstheme="minorBidi"/>
          <w:color w:val="000000" w:themeColor="text1"/>
        </w:rPr>
        <w:t>%</w:t>
      </w:r>
      <w:r w:rsidR="00E25B75" w:rsidRPr="00431A52">
        <w:rPr>
          <w:rFonts w:asciiTheme="minorHAnsi" w:eastAsiaTheme="minorEastAsia" w:hAnsiTheme="minorHAnsi" w:cstheme="minorBidi"/>
          <w:color w:val="000000" w:themeColor="text1"/>
        </w:rPr>
        <w:t xml:space="preserve"> collected</w:t>
      </w:r>
      <w:r w:rsidR="00431A52">
        <w:rPr>
          <w:rFonts w:asciiTheme="minorHAnsi" w:eastAsiaTheme="minorEastAsia" w:hAnsiTheme="minorHAnsi" w:cstheme="minorBidi"/>
          <w:color w:val="000000" w:themeColor="text1"/>
        </w:rPr>
        <w:t>, vs 13.10% respectively</w:t>
      </w:r>
      <w:r w:rsidR="00E25B75" w:rsidRPr="00431A52">
        <w:rPr>
          <w:rFonts w:asciiTheme="minorHAnsi" w:eastAsiaTheme="minorEastAsia" w:hAnsiTheme="minorHAnsi" w:cstheme="minorBidi"/>
          <w:color w:val="000000" w:themeColor="text1"/>
        </w:rPr>
        <w:t>)</w:t>
      </w:r>
      <w:r w:rsidRPr="00431A52">
        <w:rPr>
          <w:rFonts w:asciiTheme="minorHAnsi" w:eastAsiaTheme="minorEastAsia" w:hAnsiTheme="minorHAnsi" w:cstheme="minorBidi"/>
          <w:color w:val="000000" w:themeColor="text1"/>
        </w:rPr>
        <w:t>. Property</w:t>
      </w:r>
      <w:r w:rsidRPr="05DC982A">
        <w:rPr>
          <w:rFonts w:asciiTheme="minorHAnsi" w:eastAsiaTheme="minorEastAsia" w:hAnsiTheme="minorHAnsi" w:cstheme="minorBidi"/>
          <w:color w:val="000000" w:themeColor="text1"/>
        </w:rPr>
        <w:t xml:space="preserve"> taxes are due in December; therefore, the great majority will be received in December </w:t>
      </w:r>
      <w:r w:rsidR="00871D9D">
        <w:rPr>
          <w:rFonts w:asciiTheme="minorHAnsi" w:eastAsiaTheme="minorEastAsia" w:hAnsiTheme="minorHAnsi" w:cstheme="minorBidi"/>
          <w:color w:val="000000" w:themeColor="text1"/>
        </w:rPr>
        <w:t>and</w:t>
      </w:r>
      <w:r w:rsidRPr="05DC982A">
        <w:rPr>
          <w:rFonts w:asciiTheme="minorHAnsi" w:eastAsiaTheme="minorEastAsia" w:hAnsiTheme="minorHAnsi" w:cstheme="minorBidi"/>
          <w:color w:val="000000" w:themeColor="text1"/>
        </w:rPr>
        <w:t xml:space="preserve"> January. We anticipate the actual collections will remain close to the average through the Second Quarter. Solid waste management fees are billed with the property tax bills, so this revenue should track with property tax payments. Beer and Wine Licenses are billed and collected during the Third Quarter of each fiscal year. </w:t>
      </w:r>
    </w:p>
    <w:p w14:paraId="542575E8" w14:textId="41778EE6" w:rsidR="5AE4BA61" w:rsidRPr="001817B8" w:rsidRDefault="5AE4BA61" w:rsidP="05DC982A">
      <w:pPr>
        <w:jc w:val="both"/>
        <w:rPr>
          <w:rFonts w:asciiTheme="minorHAnsi" w:eastAsiaTheme="minorEastAsia" w:hAnsiTheme="minorHAnsi" w:cstheme="minorBidi"/>
          <w:color w:val="000000" w:themeColor="text1"/>
          <w:highlight w:val="yellow"/>
        </w:rPr>
      </w:pPr>
    </w:p>
    <w:p w14:paraId="0D2068D7" w14:textId="0E20AF00" w:rsidR="001E2E19" w:rsidRDefault="05DC982A" w:rsidP="05DC982A">
      <w:pPr>
        <w:autoSpaceDE w:val="0"/>
        <w:autoSpaceDN w:val="0"/>
        <w:adjustRightInd w:val="0"/>
        <w:jc w:val="both"/>
        <w:rPr>
          <w:rFonts w:asciiTheme="minorHAnsi" w:eastAsiaTheme="minorEastAsia" w:hAnsiTheme="minorHAnsi" w:cstheme="minorBidi"/>
          <w:color w:val="000000" w:themeColor="text1"/>
        </w:rPr>
      </w:pPr>
      <w:r w:rsidRPr="00925386">
        <w:rPr>
          <w:rFonts w:asciiTheme="minorHAnsi" w:eastAsiaTheme="minorEastAsia" w:hAnsiTheme="minorHAnsi" w:cstheme="minorBidi"/>
          <w:color w:val="000000" w:themeColor="text1"/>
        </w:rPr>
        <w:t>As is always the case</w:t>
      </w:r>
      <w:r w:rsidR="00431A52">
        <w:rPr>
          <w:rFonts w:asciiTheme="minorHAnsi" w:eastAsiaTheme="minorEastAsia" w:hAnsiTheme="minorHAnsi" w:cstheme="minorBidi"/>
          <w:color w:val="000000" w:themeColor="text1"/>
        </w:rPr>
        <w:t xml:space="preserve"> (due to the method of distribution from the North Carolina Department of Revenue)</w:t>
      </w:r>
      <w:r w:rsidRPr="00925386">
        <w:rPr>
          <w:rFonts w:asciiTheme="minorHAnsi" w:eastAsiaTheme="minorEastAsia" w:hAnsiTheme="minorHAnsi" w:cstheme="minorBidi"/>
          <w:color w:val="000000" w:themeColor="text1"/>
        </w:rPr>
        <w:t xml:space="preserve">, no sales tax collections are </w:t>
      </w:r>
      <w:r w:rsidR="00431A52">
        <w:rPr>
          <w:rFonts w:asciiTheme="minorHAnsi" w:eastAsiaTheme="minorEastAsia" w:hAnsiTheme="minorHAnsi" w:cstheme="minorBidi"/>
          <w:color w:val="000000" w:themeColor="text1"/>
        </w:rPr>
        <w:t>recorded</w:t>
      </w:r>
      <w:r w:rsidRPr="00925386">
        <w:rPr>
          <w:rFonts w:asciiTheme="minorHAnsi" w:eastAsiaTheme="minorEastAsia" w:hAnsiTheme="minorHAnsi" w:cstheme="minorBidi"/>
          <w:color w:val="000000" w:themeColor="text1"/>
        </w:rPr>
        <w:t xml:space="preserve"> during the 1</w:t>
      </w:r>
      <w:r w:rsidRPr="00925386">
        <w:rPr>
          <w:rFonts w:asciiTheme="minorHAnsi" w:eastAsiaTheme="minorEastAsia" w:hAnsiTheme="minorHAnsi" w:cstheme="minorBidi"/>
          <w:color w:val="000000" w:themeColor="text1"/>
          <w:vertAlign w:val="superscript"/>
        </w:rPr>
        <w:t>st</w:t>
      </w:r>
      <w:r w:rsidRPr="00925386">
        <w:rPr>
          <w:rFonts w:asciiTheme="minorHAnsi" w:eastAsiaTheme="minorEastAsia" w:hAnsiTheme="minorHAnsi" w:cstheme="minorBidi"/>
          <w:color w:val="000000" w:themeColor="text1"/>
        </w:rPr>
        <w:t xml:space="preserve"> Quarter of the fiscal year, and therefore show at 0%. The July 201</w:t>
      </w:r>
      <w:r w:rsidR="00925386" w:rsidRPr="00925386">
        <w:rPr>
          <w:rFonts w:asciiTheme="minorHAnsi" w:eastAsiaTheme="minorEastAsia" w:hAnsiTheme="minorHAnsi" w:cstheme="minorBidi"/>
          <w:color w:val="000000" w:themeColor="text1"/>
        </w:rPr>
        <w:t>8</w:t>
      </w:r>
      <w:r w:rsidRPr="00925386">
        <w:rPr>
          <w:rFonts w:asciiTheme="minorHAnsi" w:eastAsiaTheme="minorEastAsia" w:hAnsiTheme="minorHAnsi" w:cstheme="minorBidi"/>
          <w:color w:val="000000" w:themeColor="text1"/>
        </w:rPr>
        <w:t xml:space="preserve"> (1</w:t>
      </w:r>
      <w:r w:rsidRPr="00925386">
        <w:rPr>
          <w:rFonts w:asciiTheme="minorHAnsi" w:eastAsiaTheme="minorEastAsia" w:hAnsiTheme="minorHAnsi" w:cstheme="minorBidi"/>
          <w:color w:val="000000" w:themeColor="text1"/>
          <w:vertAlign w:val="superscript"/>
        </w:rPr>
        <w:t>st</w:t>
      </w:r>
      <w:r w:rsidRPr="00925386">
        <w:rPr>
          <w:rFonts w:asciiTheme="minorHAnsi" w:eastAsiaTheme="minorEastAsia" w:hAnsiTheme="minorHAnsi" w:cstheme="minorBidi"/>
          <w:color w:val="000000" w:themeColor="text1"/>
        </w:rPr>
        <w:t xml:space="preserve"> month of FY 201</w:t>
      </w:r>
      <w:r w:rsidR="00925386" w:rsidRPr="00925386">
        <w:rPr>
          <w:rFonts w:asciiTheme="minorHAnsi" w:eastAsiaTheme="minorEastAsia" w:hAnsiTheme="minorHAnsi" w:cstheme="minorBidi"/>
          <w:color w:val="000000" w:themeColor="text1"/>
        </w:rPr>
        <w:t>8</w:t>
      </w:r>
      <w:r w:rsidRPr="00925386">
        <w:rPr>
          <w:rFonts w:asciiTheme="minorHAnsi" w:eastAsiaTheme="minorEastAsia" w:hAnsiTheme="minorHAnsi" w:cstheme="minorBidi"/>
          <w:color w:val="000000" w:themeColor="text1"/>
        </w:rPr>
        <w:t>-1</w:t>
      </w:r>
      <w:r w:rsidR="00925386" w:rsidRPr="00925386">
        <w:rPr>
          <w:rFonts w:asciiTheme="minorHAnsi" w:eastAsiaTheme="minorEastAsia" w:hAnsiTheme="minorHAnsi" w:cstheme="minorBidi"/>
          <w:color w:val="000000" w:themeColor="text1"/>
        </w:rPr>
        <w:t>9</w:t>
      </w:r>
      <w:r w:rsidRPr="00925386">
        <w:rPr>
          <w:rFonts w:asciiTheme="minorHAnsi" w:eastAsiaTheme="minorEastAsia" w:hAnsiTheme="minorHAnsi" w:cstheme="minorBidi"/>
          <w:color w:val="000000" w:themeColor="text1"/>
        </w:rPr>
        <w:t>) sales taxes were received in October 201</w:t>
      </w:r>
      <w:r w:rsidR="00925386" w:rsidRPr="00925386">
        <w:rPr>
          <w:rFonts w:asciiTheme="minorHAnsi" w:eastAsiaTheme="minorEastAsia" w:hAnsiTheme="minorHAnsi" w:cstheme="minorBidi"/>
          <w:color w:val="000000" w:themeColor="text1"/>
        </w:rPr>
        <w:t>8</w:t>
      </w:r>
      <w:r w:rsidR="00925386">
        <w:rPr>
          <w:rFonts w:asciiTheme="minorHAnsi" w:eastAsiaTheme="minorEastAsia" w:hAnsiTheme="minorHAnsi" w:cstheme="minorBidi"/>
          <w:color w:val="000000" w:themeColor="text1"/>
        </w:rPr>
        <w:t xml:space="preserve"> </w:t>
      </w:r>
      <w:r w:rsidRPr="00925386">
        <w:rPr>
          <w:rFonts w:asciiTheme="minorHAnsi" w:eastAsiaTheme="minorEastAsia" w:hAnsiTheme="minorHAnsi" w:cstheme="minorBidi"/>
          <w:color w:val="000000" w:themeColor="text1"/>
        </w:rPr>
        <w:t>and will be reflected in the second quarter report.</w:t>
      </w:r>
      <w:r w:rsidRPr="05DC982A">
        <w:rPr>
          <w:rFonts w:asciiTheme="minorHAnsi" w:eastAsiaTheme="minorEastAsia" w:hAnsiTheme="minorHAnsi" w:cstheme="minorBidi"/>
          <w:color w:val="000000" w:themeColor="text1"/>
        </w:rPr>
        <w:t xml:space="preserve"> </w:t>
      </w:r>
    </w:p>
    <w:p w14:paraId="6144512A" w14:textId="77777777" w:rsidR="008F7264" w:rsidRDefault="008F7264" w:rsidP="05DC982A">
      <w:pPr>
        <w:autoSpaceDE w:val="0"/>
        <w:autoSpaceDN w:val="0"/>
        <w:adjustRightInd w:val="0"/>
        <w:jc w:val="both"/>
        <w:rPr>
          <w:rFonts w:asciiTheme="minorHAnsi" w:eastAsiaTheme="minorEastAsia" w:hAnsiTheme="minorHAnsi" w:cstheme="minorBidi"/>
          <w:color w:val="000000" w:themeColor="text1"/>
        </w:rPr>
      </w:pPr>
    </w:p>
    <w:p w14:paraId="102B4CEF" w14:textId="77777777" w:rsidR="00002621" w:rsidRDefault="05DC982A" w:rsidP="05DC982A">
      <w:pPr>
        <w:autoSpaceDE w:val="0"/>
        <w:autoSpaceDN w:val="0"/>
        <w:adjustRightInd w:val="0"/>
        <w:jc w:val="both"/>
        <w:rPr>
          <w:rFonts w:asciiTheme="minorHAnsi" w:eastAsiaTheme="minorEastAsia" w:hAnsiTheme="minorHAnsi" w:cstheme="minorBidi"/>
          <w:color w:val="000000" w:themeColor="text1"/>
        </w:rPr>
      </w:pPr>
      <w:r w:rsidRPr="05DC982A">
        <w:rPr>
          <w:rFonts w:asciiTheme="minorHAnsi" w:eastAsiaTheme="minorEastAsia" w:hAnsiTheme="minorHAnsi" w:cstheme="minorBidi"/>
          <w:color w:val="000000" w:themeColor="text1"/>
        </w:rPr>
        <w:t>Agency specific revenue items include:</w:t>
      </w:r>
    </w:p>
    <w:p w14:paraId="35AA482D" w14:textId="77777777" w:rsidR="00C458F5" w:rsidRPr="00C458F5" w:rsidRDefault="00C458F5" w:rsidP="05DC982A">
      <w:pPr>
        <w:jc w:val="both"/>
        <w:textAlignment w:val="center"/>
        <w:rPr>
          <w:rFonts w:asciiTheme="minorHAnsi" w:eastAsiaTheme="minorEastAsia" w:hAnsiTheme="minorHAnsi" w:cstheme="minorBidi"/>
          <w:color w:val="000000" w:themeColor="text1"/>
        </w:rPr>
      </w:pPr>
    </w:p>
    <w:p w14:paraId="2E67025E" w14:textId="65149100" w:rsidR="00E25B75" w:rsidRPr="00E25B75" w:rsidRDefault="004C377E" w:rsidP="03F03891">
      <w:pPr>
        <w:pStyle w:val="ListParagraph"/>
        <w:numPr>
          <w:ilvl w:val="0"/>
          <w:numId w:val="28"/>
        </w:numPr>
        <w:rPr>
          <w:rFonts w:asciiTheme="minorHAnsi" w:eastAsiaTheme="minorEastAsia" w:hAnsiTheme="minorHAnsi" w:cstheme="minorHAnsi"/>
          <w:highlight w:val="yellow"/>
        </w:rPr>
      </w:pPr>
      <w:r>
        <w:rPr>
          <w:rFonts w:asciiTheme="minorHAnsi" w:eastAsiaTheme="minorEastAsia" w:hAnsiTheme="minorHAnsi" w:cstheme="minorHAnsi"/>
          <w:highlight w:val="yellow"/>
        </w:rPr>
        <w:t>Finance</w:t>
      </w:r>
      <w:r w:rsidR="00E25B75" w:rsidRPr="00E25B75">
        <w:rPr>
          <w:rFonts w:asciiTheme="minorHAnsi" w:eastAsiaTheme="minorEastAsia" w:hAnsiTheme="minorHAnsi" w:cstheme="minorHAnsi"/>
          <w:highlight w:val="yellow"/>
        </w:rPr>
        <w:t>-</w:t>
      </w:r>
      <w:r w:rsidR="000362F4" w:rsidRPr="000362F4">
        <w:rPr>
          <w:rFonts w:asciiTheme="minorHAnsi" w:eastAsiaTheme="minorEastAsia" w:hAnsiTheme="minorHAnsi" w:cstheme="minorHAnsi"/>
          <w:highlight w:val="yellow"/>
        </w:rPr>
        <w:t xml:space="preserve"> </w:t>
      </w:r>
      <w:r w:rsidR="00871D9D">
        <w:rPr>
          <w:rFonts w:asciiTheme="minorHAnsi" w:eastAsiaTheme="minorEastAsia" w:hAnsiTheme="minorHAnsi" w:cstheme="minorHAnsi"/>
          <w:highlight w:val="yellow"/>
        </w:rPr>
        <w:t xml:space="preserve">There are two primary factors causing the indicator for Finance to be red.  </w:t>
      </w:r>
      <w:r w:rsidR="00F90B63">
        <w:rPr>
          <w:rFonts w:asciiTheme="minorHAnsi" w:eastAsiaTheme="minorEastAsia" w:hAnsiTheme="minorHAnsi" w:cstheme="minorHAnsi"/>
          <w:highlight w:val="yellow"/>
        </w:rPr>
        <w:t xml:space="preserve">In prior years the Durham County and Duke University agreement provided $100,000 for </w:t>
      </w:r>
      <w:r w:rsidR="006967F5">
        <w:rPr>
          <w:rFonts w:asciiTheme="minorHAnsi" w:eastAsiaTheme="minorEastAsia" w:hAnsiTheme="minorHAnsi" w:cstheme="minorHAnsi"/>
          <w:highlight w:val="yellow"/>
        </w:rPr>
        <w:t xml:space="preserve">the Durham Crisis Access Center building.  Per the agreement that was established in 2009, FY2017-18 was the final year of this </w:t>
      </w:r>
      <w:proofErr w:type="gramStart"/>
      <w:r w:rsidR="006967F5">
        <w:rPr>
          <w:rFonts w:asciiTheme="minorHAnsi" w:eastAsiaTheme="minorEastAsia" w:hAnsiTheme="minorHAnsi" w:cstheme="minorHAnsi"/>
          <w:highlight w:val="yellow"/>
        </w:rPr>
        <w:t>particular funding</w:t>
      </w:r>
      <w:proofErr w:type="gramEnd"/>
      <w:r w:rsidR="006967F5">
        <w:rPr>
          <w:rFonts w:asciiTheme="minorHAnsi" w:eastAsiaTheme="minorEastAsia" w:hAnsiTheme="minorHAnsi" w:cstheme="minorHAnsi"/>
          <w:highlight w:val="yellow"/>
        </w:rPr>
        <w:t>.  This revenue was always received in the first quarter which causes the indicator in this case to appear red.</w:t>
      </w:r>
      <w:r w:rsidR="00A301FF">
        <w:rPr>
          <w:rFonts w:asciiTheme="minorHAnsi" w:eastAsiaTheme="minorEastAsia" w:hAnsiTheme="minorHAnsi" w:cstheme="minorHAnsi"/>
          <w:highlight w:val="yellow"/>
        </w:rPr>
        <w:t xml:space="preserve">  </w:t>
      </w:r>
      <w:r w:rsidR="00871D9D">
        <w:rPr>
          <w:rFonts w:asciiTheme="minorHAnsi" w:eastAsiaTheme="minorEastAsia" w:hAnsiTheme="minorHAnsi" w:cstheme="minorHAnsi"/>
          <w:highlight w:val="yellow"/>
        </w:rPr>
        <w:t>The other</w:t>
      </w:r>
      <w:r w:rsidR="00A301FF">
        <w:rPr>
          <w:rFonts w:asciiTheme="minorHAnsi" w:eastAsiaTheme="minorEastAsia" w:hAnsiTheme="minorHAnsi" w:cstheme="minorHAnsi"/>
          <w:highlight w:val="yellow"/>
        </w:rPr>
        <w:t xml:space="preserve"> factor contributing to the variance is that Investment Revenue </w:t>
      </w:r>
      <w:r w:rsidR="006F5FDB">
        <w:rPr>
          <w:rFonts w:asciiTheme="minorHAnsi" w:eastAsiaTheme="minorEastAsia" w:hAnsiTheme="minorHAnsi" w:cstheme="minorHAnsi"/>
          <w:highlight w:val="yellow"/>
        </w:rPr>
        <w:t>for Quarter 1 is posted well after the quarter has closed</w:t>
      </w:r>
      <w:r w:rsidR="00871D9D">
        <w:rPr>
          <w:rFonts w:asciiTheme="minorHAnsi" w:eastAsiaTheme="minorEastAsia" w:hAnsiTheme="minorHAnsi" w:cstheme="minorHAnsi"/>
          <w:highlight w:val="yellow"/>
        </w:rPr>
        <w:t xml:space="preserve"> (late 2</w:t>
      </w:r>
      <w:r w:rsidR="00871D9D" w:rsidRPr="00871D9D">
        <w:rPr>
          <w:rFonts w:asciiTheme="minorHAnsi" w:eastAsiaTheme="minorEastAsia" w:hAnsiTheme="minorHAnsi" w:cstheme="minorHAnsi"/>
          <w:highlight w:val="yellow"/>
          <w:vertAlign w:val="superscript"/>
        </w:rPr>
        <w:t>nd</w:t>
      </w:r>
      <w:r w:rsidR="00871D9D">
        <w:rPr>
          <w:rFonts w:asciiTheme="minorHAnsi" w:eastAsiaTheme="minorEastAsia" w:hAnsiTheme="minorHAnsi" w:cstheme="minorHAnsi"/>
          <w:highlight w:val="yellow"/>
        </w:rPr>
        <w:t xml:space="preserve"> to early 3</w:t>
      </w:r>
      <w:r w:rsidR="00871D9D" w:rsidRPr="00871D9D">
        <w:rPr>
          <w:rFonts w:asciiTheme="minorHAnsi" w:eastAsiaTheme="minorEastAsia" w:hAnsiTheme="minorHAnsi" w:cstheme="minorHAnsi"/>
          <w:highlight w:val="yellow"/>
          <w:vertAlign w:val="superscript"/>
        </w:rPr>
        <w:t>rd</w:t>
      </w:r>
      <w:r w:rsidR="00871D9D">
        <w:rPr>
          <w:rFonts w:asciiTheme="minorHAnsi" w:eastAsiaTheme="minorEastAsia" w:hAnsiTheme="minorHAnsi" w:cstheme="minorHAnsi"/>
          <w:highlight w:val="yellow"/>
        </w:rPr>
        <w:t xml:space="preserve"> quarter)</w:t>
      </w:r>
      <w:r w:rsidR="006F5FDB">
        <w:rPr>
          <w:rFonts w:asciiTheme="minorHAnsi" w:eastAsiaTheme="minorEastAsia" w:hAnsiTheme="minorHAnsi" w:cstheme="minorHAnsi"/>
          <w:highlight w:val="yellow"/>
        </w:rPr>
        <w:t>, so those revenues are not captured as of this date.</w:t>
      </w:r>
    </w:p>
    <w:p w14:paraId="633B4299" w14:textId="77777777" w:rsidR="00E25B75" w:rsidRDefault="00E25B75" w:rsidP="00E25B75">
      <w:pPr>
        <w:pStyle w:val="ListParagraph"/>
        <w:rPr>
          <w:rFonts w:asciiTheme="minorHAnsi" w:eastAsiaTheme="minorEastAsia" w:hAnsiTheme="minorHAnsi" w:cstheme="minorHAnsi"/>
          <w:highlight w:val="yellow"/>
        </w:rPr>
      </w:pPr>
    </w:p>
    <w:p w14:paraId="0696495C" w14:textId="70D41FD0" w:rsidR="00E25B75" w:rsidRPr="00E25B75" w:rsidRDefault="004C377E" w:rsidP="03F03891">
      <w:pPr>
        <w:pStyle w:val="ListParagraph"/>
        <w:numPr>
          <w:ilvl w:val="0"/>
          <w:numId w:val="28"/>
        </w:numPr>
        <w:rPr>
          <w:rFonts w:asciiTheme="minorHAnsi" w:eastAsiaTheme="minorEastAsia" w:hAnsiTheme="minorHAnsi" w:cstheme="minorHAnsi"/>
          <w:highlight w:val="yellow"/>
        </w:rPr>
      </w:pPr>
      <w:r>
        <w:rPr>
          <w:rFonts w:asciiTheme="minorHAnsi" w:eastAsiaTheme="minorEastAsia" w:hAnsiTheme="minorHAnsi" w:cstheme="minorHAnsi"/>
          <w:highlight w:val="yellow"/>
        </w:rPr>
        <w:t>Fire Marshall</w:t>
      </w:r>
      <w:r w:rsidR="00E25B75">
        <w:rPr>
          <w:rFonts w:asciiTheme="minorHAnsi" w:eastAsiaTheme="minorEastAsia" w:hAnsiTheme="minorHAnsi" w:cstheme="minorHAnsi"/>
          <w:highlight w:val="yellow"/>
        </w:rPr>
        <w:t>-</w:t>
      </w:r>
      <w:r w:rsidR="003C75FD">
        <w:rPr>
          <w:rFonts w:asciiTheme="minorHAnsi" w:eastAsiaTheme="minorEastAsia" w:hAnsiTheme="minorHAnsi" w:cstheme="minorHAnsi"/>
          <w:highlight w:val="yellow"/>
        </w:rPr>
        <w:t xml:space="preserve"> </w:t>
      </w:r>
      <w:r w:rsidR="00EB6767">
        <w:rPr>
          <w:rFonts w:asciiTheme="minorHAnsi" w:eastAsiaTheme="minorEastAsia" w:hAnsiTheme="minorHAnsi" w:cstheme="minorHAnsi"/>
          <w:highlight w:val="yellow"/>
        </w:rPr>
        <w:t xml:space="preserve">The indicator for revenue in this case is related to the Emergency Management Fund Center.  For FY2018-19 the cost share Inter-local with the City of Durham </w:t>
      </w:r>
      <w:r w:rsidR="00CB274B">
        <w:rPr>
          <w:rFonts w:asciiTheme="minorHAnsi" w:eastAsiaTheme="minorEastAsia" w:hAnsiTheme="minorHAnsi" w:cstheme="minorHAnsi"/>
          <w:highlight w:val="yellow"/>
        </w:rPr>
        <w:t xml:space="preserve">has resulted in a larger budget than </w:t>
      </w:r>
      <w:proofErr w:type="gramStart"/>
      <w:r w:rsidR="00CB274B">
        <w:rPr>
          <w:rFonts w:asciiTheme="minorHAnsi" w:eastAsiaTheme="minorEastAsia" w:hAnsiTheme="minorHAnsi" w:cstheme="minorHAnsi"/>
          <w:highlight w:val="yellow"/>
        </w:rPr>
        <w:t>previous to</w:t>
      </w:r>
      <w:proofErr w:type="gramEnd"/>
      <w:r w:rsidR="00CB274B">
        <w:rPr>
          <w:rFonts w:asciiTheme="minorHAnsi" w:eastAsiaTheme="minorEastAsia" w:hAnsiTheme="minorHAnsi" w:cstheme="minorHAnsi"/>
          <w:highlight w:val="yellow"/>
        </w:rPr>
        <w:t xml:space="preserve"> fund some new initiatives (new HazMat Planner position, a generator for the Emergency Operations Center, and floor coverings for emergency shelters).  The end of year collection is projected to be met at 100%.</w:t>
      </w:r>
    </w:p>
    <w:p w14:paraId="320BCE30" w14:textId="77777777" w:rsidR="00E25B75" w:rsidRPr="00E25B75" w:rsidRDefault="00E25B75" w:rsidP="00E25B75">
      <w:pPr>
        <w:pStyle w:val="ListParagraph"/>
        <w:rPr>
          <w:rFonts w:asciiTheme="minorHAnsi" w:hAnsiTheme="minorHAnsi" w:cstheme="minorHAnsi"/>
          <w:color w:val="000000" w:themeColor="text1"/>
          <w:highlight w:val="yellow"/>
        </w:rPr>
      </w:pPr>
    </w:p>
    <w:p w14:paraId="2CFD2ED4" w14:textId="65D7B84C" w:rsidR="00E25B75" w:rsidRPr="00B778FB" w:rsidRDefault="004C377E" w:rsidP="03F03891">
      <w:pPr>
        <w:pStyle w:val="ListParagraph"/>
        <w:numPr>
          <w:ilvl w:val="0"/>
          <w:numId w:val="28"/>
        </w:numPr>
        <w:rPr>
          <w:rFonts w:asciiTheme="minorHAnsi" w:hAnsiTheme="minorHAnsi" w:cstheme="minorHAnsi"/>
          <w:color w:val="000000" w:themeColor="text1"/>
          <w:highlight w:val="yellow"/>
        </w:rPr>
      </w:pPr>
      <w:r>
        <w:rPr>
          <w:rFonts w:asciiTheme="minorHAnsi" w:eastAsiaTheme="minorEastAsia" w:hAnsiTheme="minorHAnsi" w:cstheme="minorHAnsi"/>
          <w:highlight w:val="yellow"/>
        </w:rPr>
        <w:t>Criminal Justice Resource Center</w:t>
      </w:r>
      <w:r w:rsidR="00E25B75" w:rsidRPr="00E25B75">
        <w:rPr>
          <w:rFonts w:asciiTheme="minorHAnsi" w:eastAsiaTheme="minorEastAsia" w:hAnsiTheme="minorHAnsi" w:cstheme="minorHAnsi"/>
          <w:highlight w:val="yellow"/>
        </w:rPr>
        <w:t>-</w:t>
      </w:r>
      <w:r w:rsidR="00715E7F">
        <w:rPr>
          <w:rFonts w:asciiTheme="minorHAnsi" w:eastAsiaTheme="minorEastAsia" w:hAnsiTheme="minorHAnsi" w:cstheme="minorHAnsi"/>
          <w:highlight w:val="yellow"/>
        </w:rPr>
        <w:t xml:space="preserve"> CJRC revenues are mostly from State and Federal Grant programs.  </w:t>
      </w:r>
      <w:r w:rsidR="006903C9">
        <w:rPr>
          <w:rFonts w:asciiTheme="minorHAnsi" w:eastAsiaTheme="minorEastAsia" w:hAnsiTheme="minorHAnsi" w:cstheme="minorHAnsi"/>
          <w:highlight w:val="yellow"/>
        </w:rPr>
        <w:t xml:space="preserve">In this </w:t>
      </w:r>
      <w:r w:rsidR="00677F68">
        <w:rPr>
          <w:rFonts w:asciiTheme="minorHAnsi" w:eastAsiaTheme="minorEastAsia" w:hAnsiTheme="minorHAnsi" w:cstheme="minorHAnsi"/>
          <w:highlight w:val="yellow"/>
        </w:rPr>
        <w:t>case some minor fluctuations in grant revenue received to date is causing the indicator to show red.  The expectation is that all grants will proceed as budgeted and projected revenues will be reached by the end of the fiscal year.</w:t>
      </w:r>
    </w:p>
    <w:p w14:paraId="7F4046EB" w14:textId="77777777" w:rsidR="00B778FB" w:rsidRPr="00B778FB" w:rsidRDefault="00B778FB" w:rsidP="00B778FB">
      <w:pPr>
        <w:pStyle w:val="ListParagraph"/>
        <w:rPr>
          <w:rFonts w:asciiTheme="minorHAnsi" w:hAnsiTheme="minorHAnsi" w:cstheme="minorHAnsi"/>
          <w:color w:val="000000" w:themeColor="text1"/>
          <w:highlight w:val="yellow"/>
        </w:rPr>
      </w:pPr>
    </w:p>
    <w:p w14:paraId="6979C325" w14:textId="32B71EA6" w:rsidR="00B778FB" w:rsidRPr="00E25B75" w:rsidRDefault="004C377E" w:rsidP="03F03891">
      <w:pPr>
        <w:pStyle w:val="ListParagraph"/>
        <w:numPr>
          <w:ilvl w:val="0"/>
          <w:numId w:val="28"/>
        </w:numPr>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Youth Home</w:t>
      </w:r>
      <w:r w:rsidR="00B778FB">
        <w:rPr>
          <w:rFonts w:asciiTheme="minorHAnsi" w:hAnsiTheme="minorHAnsi" w:cstheme="minorHAnsi"/>
          <w:color w:val="000000" w:themeColor="text1"/>
          <w:highlight w:val="yellow"/>
        </w:rPr>
        <w:t>-</w:t>
      </w:r>
      <w:r w:rsidR="000362F4" w:rsidRPr="000362F4">
        <w:rPr>
          <w:rFonts w:asciiTheme="minorHAnsi" w:eastAsiaTheme="minorEastAsia" w:hAnsiTheme="minorHAnsi" w:cstheme="minorHAnsi"/>
          <w:highlight w:val="yellow"/>
        </w:rPr>
        <w:t xml:space="preserve"> </w:t>
      </w:r>
      <w:r w:rsidR="000362F4">
        <w:rPr>
          <w:rFonts w:asciiTheme="minorHAnsi" w:eastAsiaTheme="minorEastAsia" w:hAnsiTheme="minorHAnsi" w:cstheme="minorHAnsi"/>
          <w:highlight w:val="yellow"/>
        </w:rPr>
        <w:t>R</w:t>
      </w:r>
      <w:r w:rsidR="000362F4" w:rsidRPr="000362F4">
        <w:rPr>
          <w:rFonts w:asciiTheme="minorHAnsi" w:eastAsiaTheme="minorEastAsia" w:hAnsiTheme="minorHAnsi" w:cstheme="minorHAnsi"/>
          <w:highlight w:val="yellow"/>
        </w:rPr>
        <w:t xml:space="preserve">evenue for </w:t>
      </w:r>
      <w:r w:rsidR="000362F4">
        <w:rPr>
          <w:rFonts w:asciiTheme="minorHAnsi" w:eastAsiaTheme="minorEastAsia" w:hAnsiTheme="minorHAnsi" w:cstheme="minorHAnsi"/>
          <w:highlight w:val="yellow"/>
        </w:rPr>
        <w:t>the Youth Home</w:t>
      </w:r>
      <w:r w:rsidR="000362F4" w:rsidRPr="000362F4">
        <w:rPr>
          <w:rFonts w:asciiTheme="minorHAnsi" w:eastAsiaTheme="minorEastAsia" w:hAnsiTheme="minorHAnsi" w:cstheme="minorHAnsi"/>
          <w:highlight w:val="yellow"/>
        </w:rPr>
        <w:t xml:space="preserve"> is largely comprised of reimbursements for bed day usage which is lower than previous years</w:t>
      </w:r>
      <w:r w:rsidR="000362F4">
        <w:rPr>
          <w:rFonts w:asciiTheme="minorHAnsi" w:eastAsiaTheme="minorEastAsia" w:hAnsiTheme="minorHAnsi" w:cstheme="minorHAnsi"/>
          <w:highlight w:val="yellow"/>
        </w:rPr>
        <w:t xml:space="preserve"> 1</w:t>
      </w:r>
      <w:r w:rsidR="000362F4" w:rsidRPr="000362F4">
        <w:rPr>
          <w:rFonts w:asciiTheme="minorHAnsi" w:eastAsiaTheme="minorEastAsia" w:hAnsiTheme="minorHAnsi" w:cstheme="minorHAnsi"/>
          <w:highlight w:val="yellow"/>
          <w:vertAlign w:val="superscript"/>
        </w:rPr>
        <w:t>st</w:t>
      </w:r>
      <w:r w:rsidR="000362F4">
        <w:rPr>
          <w:rFonts w:asciiTheme="minorHAnsi" w:eastAsiaTheme="minorEastAsia" w:hAnsiTheme="minorHAnsi" w:cstheme="minorHAnsi"/>
          <w:highlight w:val="yellow"/>
        </w:rPr>
        <w:t xml:space="preserve"> quarter amounts</w:t>
      </w:r>
      <w:r w:rsidR="000362F4" w:rsidRPr="000362F4">
        <w:rPr>
          <w:rFonts w:asciiTheme="minorHAnsi" w:eastAsiaTheme="minorEastAsia" w:hAnsiTheme="minorHAnsi" w:cstheme="minorHAnsi"/>
          <w:highlight w:val="yellow"/>
        </w:rPr>
        <w:t xml:space="preserve">. This number varies </w:t>
      </w:r>
      <w:proofErr w:type="gramStart"/>
      <w:r w:rsidR="000362F4" w:rsidRPr="000362F4">
        <w:rPr>
          <w:rFonts w:asciiTheme="minorHAnsi" w:eastAsiaTheme="minorEastAsia" w:hAnsiTheme="minorHAnsi" w:cstheme="minorHAnsi"/>
          <w:highlight w:val="yellow"/>
        </w:rPr>
        <w:t>as a result of</w:t>
      </w:r>
      <w:proofErr w:type="gramEnd"/>
      <w:r w:rsidR="000362F4" w:rsidRPr="000362F4">
        <w:rPr>
          <w:rFonts w:asciiTheme="minorHAnsi" w:eastAsiaTheme="minorEastAsia" w:hAnsiTheme="minorHAnsi" w:cstheme="minorHAnsi"/>
          <w:highlight w:val="yellow"/>
        </w:rPr>
        <w:t xml:space="preserve"> non-County juveniles' criminal activity and how Judges </w:t>
      </w:r>
      <w:r w:rsidR="000362F4">
        <w:rPr>
          <w:rFonts w:asciiTheme="minorHAnsi" w:eastAsiaTheme="minorEastAsia" w:hAnsiTheme="minorHAnsi" w:cstheme="minorHAnsi"/>
          <w:highlight w:val="yellow"/>
        </w:rPr>
        <w:t>decide on placement of those juveniles which is driven by the offenses committed</w:t>
      </w:r>
      <w:r w:rsidR="000362F4" w:rsidRPr="42C98C43">
        <w:rPr>
          <w:color w:val="000000" w:themeColor="text1"/>
          <w:sz w:val="22"/>
          <w:szCs w:val="22"/>
        </w:rPr>
        <w:t>.</w:t>
      </w:r>
    </w:p>
    <w:p w14:paraId="1BA1DD67" w14:textId="77777777" w:rsidR="00E25B75" w:rsidRDefault="00E25B75" w:rsidP="00E25B75">
      <w:pPr>
        <w:pStyle w:val="ListParagraph"/>
        <w:rPr>
          <w:rFonts w:asciiTheme="minorHAnsi" w:hAnsiTheme="minorHAnsi" w:cstheme="minorHAnsi"/>
          <w:color w:val="000000" w:themeColor="text1"/>
          <w:highlight w:val="yellow"/>
        </w:rPr>
      </w:pPr>
    </w:p>
    <w:p w14:paraId="62B7B2AA" w14:textId="48BA3D92" w:rsidR="00C56724" w:rsidRDefault="004C377E" w:rsidP="03F03891">
      <w:pPr>
        <w:pStyle w:val="ListParagraph"/>
        <w:numPr>
          <w:ilvl w:val="0"/>
          <w:numId w:val="28"/>
        </w:numPr>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Cooperative Extension</w:t>
      </w:r>
      <w:r w:rsidR="00E25B75">
        <w:rPr>
          <w:rFonts w:asciiTheme="minorHAnsi" w:hAnsiTheme="minorHAnsi" w:cstheme="minorHAnsi"/>
          <w:color w:val="000000" w:themeColor="text1"/>
          <w:highlight w:val="yellow"/>
        </w:rPr>
        <w:t>-</w:t>
      </w:r>
      <w:r w:rsidR="00E543E5">
        <w:rPr>
          <w:rFonts w:asciiTheme="minorHAnsi" w:hAnsiTheme="minorHAnsi" w:cstheme="minorHAnsi"/>
          <w:color w:val="000000" w:themeColor="text1"/>
          <w:highlight w:val="yellow"/>
        </w:rPr>
        <w:t xml:space="preserve"> </w:t>
      </w:r>
      <w:r w:rsidR="0063571D">
        <w:rPr>
          <w:rFonts w:asciiTheme="minorHAnsi" w:hAnsiTheme="minorHAnsi" w:cstheme="minorHAnsi"/>
          <w:color w:val="000000" w:themeColor="text1"/>
          <w:highlight w:val="yellow"/>
        </w:rPr>
        <w:t xml:space="preserve">Reimbursement revenues have been received in the Welcome Baby </w:t>
      </w:r>
      <w:r w:rsidR="00677B98">
        <w:rPr>
          <w:rFonts w:asciiTheme="minorHAnsi" w:hAnsiTheme="minorHAnsi" w:cstheme="minorHAnsi"/>
          <w:color w:val="000000" w:themeColor="text1"/>
          <w:highlight w:val="yellow"/>
        </w:rPr>
        <w:t xml:space="preserve">program from </w:t>
      </w:r>
      <w:r w:rsidR="0063571D">
        <w:rPr>
          <w:rFonts w:asciiTheme="minorHAnsi" w:hAnsiTheme="minorHAnsi" w:cstheme="minorHAnsi"/>
          <w:color w:val="000000" w:themeColor="text1"/>
          <w:highlight w:val="yellow"/>
        </w:rPr>
        <w:t>Smart Start grant</w:t>
      </w:r>
      <w:r w:rsidR="00E6742B">
        <w:rPr>
          <w:rFonts w:asciiTheme="minorHAnsi" w:hAnsiTheme="minorHAnsi" w:cstheme="minorHAnsi"/>
          <w:color w:val="000000" w:themeColor="text1"/>
          <w:highlight w:val="yellow"/>
        </w:rPr>
        <w:t xml:space="preserve"> funds</w:t>
      </w:r>
      <w:r w:rsidR="0063571D">
        <w:rPr>
          <w:rFonts w:asciiTheme="minorHAnsi" w:hAnsiTheme="minorHAnsi" w:cstheme="minorHAnsi"/>
          <w:color w:val="000000" w:themeColor="text1"/>
          <w:highlight w:val="yellow"/>
        </w:rPr>
        <w:t xml:space="preserve"> </w:t>
      </w:r>
      <w:r w:rsidR="00677B98">
        <w:rPr>
          <w:rFonts w:asciiTheme="minorHAnsi" w:hAnsiTheme="minorHAnsi" w:cstheme="minorHAnsi"/>
          <w:color w:val="000000" w:themeColor="text1"/>
          <w:highlight w:val="yellow"/>
        </w:rPr>
        <w:t xml:space="preserve">and are on par with the </w:t>
      </w:r>
      <w:r w:rsidR="00A70432">
        <w:rPr>
          <w:rFonts w:asciiTheme="minorHAnsi" w:hAnsiTheme="minorHAnsi" w:cstheme="minorHAnsi"/>
          <w:color w:val="000000" w:themeColor="text1"/>
          <w:highlight w:val="yellow"/>
        </w:rPr>
        <w:t>4-year</w:t>
      </w:r>
      <w:r w:rsidR="00677B98">
        <w:rPr>
          <w:rFonts w:asciiTheme="minorHAnsi" w:hAnsiTheme="minorHAnsi" w:cstheme="minorHAnsi"/>
          <w:color w:val="000000" w:themeColor="text1"/>
          <w:highlight w:val="yellow"/>
        </w:rPr>
        <w:t xml:space="preserve"> average.  </w:t>
      </w:r>
      <w:r w:rsidR="00DD41D0">
        <w:rPr>
          <w:rFonts w:asciiTheme="minorHAnsi" w:hAnsiTheme="minorHAnsi" w:cstheme="minorHAnsi"/>
          <w:color w:val="000000" w:themeColor="text1"/>
          <w:highlight w:val="yellow"/>
        </w:rPr>
        <w:t>However, there is a timing issue with revenue postings being delayed</w:t>
      </w:r>
    </w:p>
    <w:p w14:paraId="33023FF5" w14:textId="77777777" w:rsidR="004C377E" w:rsidRPr="004C377E" w:rsidRDefault="004C377E" w:rsidP="004C377E">
      <w:pPr>
        <w:pStyle w:val="ListParagraph"/>
        <w:rPr>
          <w:rFonts w:asciiTheme="minorHAnsi" w:hAnsiTheme="minorHAnsi" w:cstheme="minorHAnsi"/>
          <w:color w:val="000000" w:themeColor="text1"/>
          <w:highlight w:val="yellow"/>
        </w:rPr>
      </w:pPr>
    </w:p>
    <w:p w14:paraId="6FEEB0D1" w14:textId="5210205B" w:rsidR="004C377E" w:rsidRDefault="004C377E" w:rsidP="03F03891">
      <w:pPr>
        <w:pStyle w:val="ListParagraph"/>
        <w:numPr>
          <w:ilvl w:val="0"/>
          <w:numId w:val="28"/>
        </w:numPr>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Public Health-</w:t>
      </w:r>
      <w:r w:rsidR="00005387">
        <w:rPr>
          <w:rFonts w:asciiTheme="minorHAnsi" w:hAnsiTheme="minorHAnsi" w:cstheme="minorHAnsi"/>
          <w:color w:val="000000" w:themeColor="text1"/>
          <w:highlight w:val="yellow"/>
        </w:rPr>
        <w:t xml:space="preserve"> researching</w:t>
      </w:r>
    </w:p>
    <w:p w14:paraId="76858FD1" w14:textId="77777777" w:rsidR="004C377E" w:rsidRPr="004C377E" w:rsidRDefault="004C377E" w:rsidP="004C377E">
      <w:pPr>
        <w:pStyle w:val="ListParagraph"/>
        <w:rPr>
          <w:rFonts w:asciiTheme="minorHAnsi" w:hAnsiTheme="minorHAnsi" w:cstheme="minorHAnsi"/>
          <w:color w:val="000000" w:themeColor="text1"/>
          <w:highlight w:val="yellow"/>
        </w:rPr>
      </w:pPr>
    </w:p>
    <w:p w14:paraId="1BE68B95" w14:textId="507A49FE" w:rsidR="004C377E" w:rsidRDefault="004C377E" w:rsidP="03F03891">
      <w:pPr>
        <w:pStyle w:val="ListParagraph"/>
        <w:numPr>
          <w:ilvl w:val="0"/>
          <w:numId w:val="28"/>
        </w:numPr>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Other Human Services-</w:t>
      </w:r>
      <w:r w:rsidR="00065597">
        <w:rPr>
          <w:rFonts w:asciiTheme="minorHAnsi" w:hAnsiTheme="minorHAnsi" w:cstheme="minorHAnsi"/>
          <w:color w:val="000000" w:themeColor="text1"/>
          <w:highlight w:val="yellow"/>
        </w:rPr>
        <w:t xml:space="preserve"> </w:t>
      </w:r>
      <w:r w:rsidR="00636DDE">
        <w:rPr>
          <w:rFonts w:asciiTheme="minorHAnsi" w:hAnsiTheme="minorHAnsi" w:cstheme="minorHAnsi"/>
          <w:color w:val="000000" w:themeColor="text1"/>
          <w:highlight w:val="yellow"/>
        </w:rPr>
        <w:t xml:space="preserve">Revenue related to reimbursement of grant funding in the ACCESS transportation has been delayed due to an issue with </w:t>
      </w:r>
      <w:r w:rsidR="00F64720">
        <w:rPr>
          <w:rFonts w:asciiTheme="minorHAnsi" w:hAnsiTheme="minorHAnsi" w:cstheme="minorHAnsi"/>
          <w:color w:val="000000" w:themeColor="text1"/>
          <w:highlight w:val="yellow"/>
        </w:rPr>
        <w:t>executing the contract.  The expectation is that</w:t>
      </w:r>
      <w:r w:rsidR="00E05FDC">
        <w:rPr>
          <w:rFonts w:asciiTheme="minorHAnsi" w:hAnsiTheme="minorHAnsi" w:cstheme="minorHAnsi"/>
          <w:color w:val="000000" w:themeColor="text1"/>
          <w:highlight w:val="yellow"/>
        </w:rPr>
        <w:t xml:space="preserve"> grant funding </w:t>
      </w:r>
      <w:r w:rsidR="00A80EE1">
        <w:rPr>
          <w:rFonts w:asciiTheme="minorHAnsi" w:hAnsiTheme="minorHAnsi" w:cstheme="minorHAnsi"/>
          <w:color w:val="000000" w:themeColor="text1"/>
          <w:highlight w:val="yellow"/>
        </w:rPr>
        <w:t xml:space="preserve">revenues will meet budget </w:t>
      </w:r>
      <w:r w:rsidR="00D24660">
        <w:rPr>
          <w:rFonts w:asciiTheme="minorHAnsi" w:hAnsiTheme="minorHAnsi" w:cstheme="minorHAnsi"/>
          <w:color w:val="000000" w:themeColor="text1"/>
          <w:highlight w:val="yellow"/>
        </w:rPr>
        <w:t>projections</w:t>
      </w:r>
      <w:r w:rsidR="00A80EE1">
        <w:rPr>
          <w:rFonts w:asciiTheme="minorHAnsi" w:hAnsiTheme="minorHAnsi" w:cstheme="minorHAnsi"/>
          <w:color w:val="000000" w:themeColor="text1"/>
          <w:highlight w:val="yellow"/>
        </w:rPr>
        <w:t>.</w:t>
      </w:r>
    </w:p>
    <w:p w14:paraId="16E36062" w14:textId="77777777" w:rsidR="004C377E" w:rsidRPr="004C377E" w:rsidRDefault="004C377E" w:rsidP="004C377E">
      <w:pPr>
        <w:pStyle w:val="ListParagraph"/>
        <w:rPr>
          <w:rFonts w:asciiTheme="minorHAnsi" w:hAnsiTheme="minorHAnsi" w:cstheme="minorHAnsi"/>
          <w:color w:val="000000" w:themeColor="text1"/>
          <w:highlight w:val="yellow"/>
        </w:rPr>
      </w:pPr>
    </w:p>
    <w:p w14:paraId="1FDA5B0A" w14:textId="544597DF" w:rsidR="004C377E" w:rsidRDefault="004C377E" w:rsidP="03F03891">
      <w:pPr>
        <w:pStyle w:val="ListParagraph"/>
        <w:numPr>
          <w:ilvl w:val="0"/>
          <w:numId w:val="28"/>
        </w:numPr>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Library-</w:t>
      </w:r>
      <w:r w:rsidR="00D24660">
        <w:rPr>
          <w:rFonts w:asciiTheme="minorHAnsi" w:hAnsiTheme="minorHAnsi" w:cstheme="minorHAnsi"/>
          <w:color w:val="000000" w:themeColor="text1"/>
          <w:highlight w:val="yellow"/>
        </w:rPr>
        <w:t xml:space="preserve"> </w:t>
      </w:r>
      <w:r w:rsidR="00F26B40">
        <w:rPr>
          <w:rFonts w:asciiTheme="minorHAnsi" w:hAnsiTheme="minorHAnsi" w:cstheme="minorHAnsi"/>
          <w:color w:val="000000" w:themeColor="text1"/>
          <w:highlight w:val="yellow"/>
        </w:rPr>
        <w:t xml:space="preserve">Three mid-years </w:t>
      </w:r>
      <w:r w:rsidR="00F75E7C">
        <w:rPr>
          <w:rFonts w:asciiTheme="minorHAnsi" w:hAnsiTheme="minorHAnsi" w:cstheme="minorHAnsi"/>
          <w:color w:val="000000" w:themeColor="text1"/>
          <w:highlight w:val="yellow"/>
        </w:rPr>
        <w:t>grant</w:t>
      </w:r>
      <w:r w:rsidR="00F26B40">
        <w:rPr>
          <w:rFonts w:asciiTheme="minorHAnsi" w:hAnsiTheme="minorHAnsi" w:cstheme="minorHAnsi"/>
          <w:color w:val="000000" w:themeColor="text1"/>
          <w:highlight w:val="yellow"/>
        </w:rPr>
        <w:t>s</w:t>
      </w:r>
      <w:r w:rsidR="00F75E7C">
        <w:rPr>
          <w:rFonts w:asciiTheme="minorHAnsi" w:hAnsiTheme="minorHAnsi" w:cstheme="minorHAnsi"/>
          <w:color w:val="000000" w:themeColor="text1"/>
          <w:highlight w:val="yellow"/>
        </w:rPr>
        <w:t xml:space="preserve"> w</w:t>
      </w:r>
      <w:r w:rsidR="00F26B40">
        <w:rPr>
          <w:rFonts w:asciiTheme="minorHAnsi" w:hAnsiTheme="minorHAnsi" w:cstheme="minorHAnsi"/>
          <w:color w:val="000000" w:themeColor="text1"/>
          <w:highlight w:val="yellow"/>
        </w:rPr>
        <w:t>ere</w:t>
      </w:r>
      <w:r w:rsidR="00F75E7C">
        <w:rPr>
          <w:rFonts w:asciiTheme="minorHAnsi" w:hAnsiTheme="minorHAnsi" w:cstheme="minorHAnsi"/>
          <w:color w:val="000000" w:themeColor="text1"/>
          <w:highlight w:val="yellow"/>
        </w:rPr>
        <w:t xml:space="preserve"> received </w:t>
      </w:r>
      <w:r w:rsidR="00DE0A62">
        <w:rPr>
          <w:rFonts w:asciiTheme="minorHAnsi" w:hAnsiTheme="minorHAnsi" w:cstheme="minorHAnsi"/>
          <w:color w:val="000000" w:themeColor="text1"/>
          <w:highlight w:val="yellow"/>
        </w:rPr>
        <w:t xml:space="preserve">for the Library </w:t>
      </w:r>
      <w:r w:rsidR="00F75E7C">
        <w:rPr>
          <w:rFonts w:asciiTheme="minorHAnsi" w:hAnsiTheme="minorHAnsi" w:cstheme="minorHAnsi"/>
          <w:color w:val="000000" w:themeColor="text1"/>
          <w:highlight w:val="yellow"/>
        </w:rPr>
        <w:t>that increased the total budget</w:t>
      </w:r>
      <w:r w:rsidR="00257F14">
        <w:rPr>
          <w:rFonts w:asciiTheme="minorHAnsi" w:hAnsiTheme="minorHAnsi" w:cstheme="minorHAnsi"/>
          <w:color w:val="000000" w:themeColor="text1"/>
          <w:highlight w:val="yellow"/>
        </w:rPr>
        <w:t xml:space="preserve"> when compared to the </w:t>
      </w:r>
      <w:r w:rsidR="001E6D61">
        <w:rPr>
          <w:rFonts w:asciiTheme="minorHAnsi" w:hAnsiTheme="minorHAnsi" w:cstheme="minorHAnsi"/>
          <w:color w:val="000000" w:themeColor="text1"/>
          <w:highlight w:val="yellow"/>
        </w:rPr>
        <w:t>four-year</w:t>
      </w:r>
      <w:r w:rsidR="00257F14">
        <w:rPr>
          <w:rFonts w:asciiTheme="minorHAnsi" w:hAnsiTheme="minorHAnsi" w:cstheme="minorHAnsi"/>
          <w:color w:val="000000" w:themeColor="text1"/>
          <w:highlight w:val="yellow"/>
        </w:rPr>
        <w:t xml:space="preserve"> average</w:t>
      </w:r>
      <w:r w:rsidR="00DE0A62">
        <w:rPr>
          <w:rFonts w:asciiTheme="minorHAnsi" w:hAnsiTheme="minorHAnsi" w:cstheme="minorHAnsi"/>
          <w:color w:val="000000" w:themeColor="text1"/>
          <w:highlight w:val="yellow"/>
        </w:rPr>
        <w:t xml:space="preserve">.  The </w:t>
      </w:r>
      <w:r w:rsidR="001E6D61">
        <w:rPr>
          <w:rFonts w:asciiTheme="minorHAnsi" w:hAnsiTheme="minorHAnsi" w:cstheme="minorHAnsi"/>
          <w:color w:val="000000" w:themeColor="text1"/>
          <w:highlight w:val="yellow"/>
        </w:rPr>
        <w:t xml:space="preserve">actual </w:t>
      </w:r>
      <w:r w:rsidR="00DE0A62">
        <w:rPr>
          <w:rFonts w:asciiTheme="minorHAnsi" w:hAnsiTheme="minorHAnsi" w:cstheme="minorHAnsi"/>
          <w:color w:val="000000" w:themeColor="text1"/>
          <w:highlight w:val="yellow"/>
        </w:rPr>
        <w:t>revenues have not been received yet but will</w:t>
      </w:r>
      <w:r w:rsidR="005D119D">
        <w:rPr>
          <w:rFonts w:asciiTheme="minorHAnsi" w:hAnsiTheme="minorHAnsi" w:cstheme="minorHAnsi"/>
          <w:color w:val="000000" w:themeColor="text1"/>
          <w:highlight w:val="yellow"/>
        </w:rPr>
        <w:t xml:space="preserve"> be received by year end.  </w:t>
      </w:r>
    </w:p>
    <w:p w14:paraId="03568D83" w14:textId="77777777" w:rsidR="004C377E" w:rsidRPr="004C377E" w:rsidRDefault="004C377E" w:rsidP="004C377E">
      <w:pPr>
        <w:pStyle w:val="ListParagraph"/>
        <w:rPr>
          <w:rFonts w:asciiTheme="minorHAnsi" w:hAnsiTheme="minorHAnsi" w:cstheme="minorHAnsi"/>
          <w:color w:val="000000" w:themeColor="text1"/>
          <w:highlight w:val="yellow"/>
        </w:rPr>
      </w:pPr>
    </w:p>
    <w:p w14:paraId="08356454" w14:textId="13D5B473" w:rsidR="004C377E" w:rsidRPr="00E25B75" w:rsidRDefault="004C377E" w:rsidP="03F03891">
      <w:pPr>
        <w:pStyle w:val="ListParagraph"/>
        <w:numPr>
          <w:ilvl w:val="0"/>
          <w:numId w:val="28"/>
        </w:numPr>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Non-Departmental-</w:t>
      </w:r>
      <w:r w:rsidR="00D32398">
        <w:rPr>
          <w:rFonts w:asciiTheme="minorHAnsi" w:hAnsiTheme="minorHAnsi" w:cstheme="minorHAnsi"/>
          <w:color w:val="000000" w:themeColor="text1"/>
          <w:highlight w:val="yellow"/>
        </w:rPr>
        <w:t xml:space="preserve"> </w:t>
      </w:r>
      <w:r w:rsidR="00FF6E9C">
        <w:rPr>
          <w:rFonts w:asciiTheme="minorHAnsi" w:hAnsiTheme="minorHAnsi" w:cstheme="minorHAnsi"/>
          <w:color w:val="000000" w:themeColor="text1"/>
          <w:highlight w:val="yellow"/>
        </w:rPr>
        <w:t>The budget for t</w:t>
      </w:r>
      <w:r w:rsidR="00D32398">
        <w:rPr>
          <w:rFonts w:asciiTheme="minorHAnsi" w:hAnsiTheme="minorHAnsi" w:cstheme="minorHAnsi"/>
          <w:color w:val="000000" w:themeColor="text1"/>
          <w:highlight w:val="yellow"/>
        </w:rPr>
        <w:t xml:space="preserve">ransfers </w:t>
      </w:r>
      <w:r w:rsidR="001E6D61">
        <w:rPr>
          <w:rFonts w:asciiTheme="minorHAnsi" w:hAnsiTheme="minorHAnsi" w:cstheme="minorHAnsi"/>
          <w:color w:val="000000" w:themeColor="text1"/>
          <w:highlight w:val="yellow"/>
        </w:rPr>
        <w:t>from other</w:t>
      </w:r>
      <w:r w:rsidR="00FF6E9C">
        <w:rPr>
          <w:rFonts w:asciiTheme="minorHAnsi" w:hAnsiTheme="minorHAnsi" w:cstheme="minorHAnsi"/>
          <w:color w:val="000000" w:themeColor="text1"/>
          <w:highlight w:val="yellow"/>
        </w:rPr>
        <w:t xml:space="preserve"> funds has increased compared to prior years</w:t>
      </w:r>
      <w:r w:rsidR="008865E4">
        <w:rPr>
          <w:rFonts w:asciiTheme="minorHAnsi" w:hAnsiTheme="minorHAnsi" w:cstheme="minorHAnsi"/>
          <w:color w:val="000000" w:themeColor="text1"/>
          <w:highlight w:val="yellow"/>
        </w:rPr>
        <w:t>, s</w:t>
      </w:r>
      <w:r w:rsidR="00A2699F">
        <w:rPr>
          <w:rFonts w:asciiTheme="minorHAnsi" w:hAnsiTheme="minorHAnsi" w:cstheme="minorHAnsi"/>
          <w:color w:val="000000" w:themeColor="text1"/>
          <w:highlight w:val="yellow"/>
        </w:rPr>
        <w:t xml:space="preserve">pecifically </w:t>
      </w:r>
      <w:r w:rsidR="00F64527">
        <w:rPr>
          <w:rFonts w:asciiTheme="minorHAnsi" w:hAnsiTheme="minorHAnsi" w:cstheme="minorHAnsi"/>
          <w:color w:val="000000" w:themeColor="text1"/>
          <w:highlight w:val="yellow"/>
        </w:rPr>
        <w:t>a</w:t>
      </w:r>
      <w:r w:rsidR="00E820B5">
        <w:rPr>
          <w:rFonts w:asciiTheme="minorHAnsi" w:hAnsiTheme="minorHAnsi" w:cstheme="minorHAnsi"/>
          <w:color w:val="000000" w:themeColor="text1"/>
          <w:highlight w:val="yellow"/>
        </w:rPr>
        <w:t xml:space="preserve"> transfer from the Debt Service Fund to support one-time purchases of vehicles and equipment</w:t>
      </w:r>
      <w:r w:rsidR="008865E4">
        <w:rPr>
          <w:rFonts w:asciiTheme="minorHAnsi" w:hAnsiTheme="minorHAnsi" w:cstheme="minorHAnsi"/>
          <w:color w:val="000000" w:themeColor="text1"/>
          <w:highlight w:val="yellow"/>
        </w:rPr>
        <w:t>.</w:t>
      </w:r>
      <w:r w:rsidR="00477C7E">
        <w:rPr>
          <w:rFonts w:asciiTheme="minorHAnsi" w:hAnsiTheme="minorHAnsi" w:cstheme="minorHAnsi"/>
          <w:color w:val="000000" w:themeColor="text1"/>
          <w:highlight w:val="yellow"/>
        </w:rPr>
        <w:t xml:space="preserve">  </w:t>
      </w:r>
      <w:r w:rsidR="00F64527">
        <w:rPr>
          <w:rFonts w:asciiTheme="minorHAnsi" w:hAnsiTheme="minorHAnsi" w:cstheme="minorHAnsi"/>
          <w:color w:val="000000" w:themeColor="text1"/>
          <w:highlight w:val="yellow"/>
        </w:rPr>
        <w:t>These types of transfers are typically posted in the fourth quarter</w:t>
      </w:r>
      <w:r w:rsidR="006C7CCE">
        <w:rPr>
          <w:rFonts w:asciiTheme="minorHAnsi" w:hAnsiTheme="minorHAnsi" w:cstheme="minorHAnsi"/>
          <w:color w:val="000000" w:themeColor="text1"/>
          <w:highlight w:val="yellow"/>
        </w:rPr>
        <w:t xml:space="preserve">.  This budget to actual variance is driving </w:t>
      </w:r>
      <w:r w:rsidR="005B29A9">
        <w:rPr>
          <w:rFonts w:asciiTheme="minorHAnsi" w:hAnsiTheme="minorHAnsi" w:cstheme="minorHAnsi"/>
          <w:color w:val="000000" w:themeColor="text1"/>
          <w:highlight w:val="yellow"/>
        </w:rPr>
        <w:t>lower than average 1</w:t>
      </w:r>
      <w:r w:rsidR="005B29A9" w:rsidRPr="005B29A9">
        <w:rPr>
          <w:rFonts w:asciiTheme="minorHAnsi" w:hAnsiTheme="minorHAnsi" w:cstheme="minorHAnsi"/>
          <w:color w:val="000000" w:themeColor="text1"/>
          <w:highlight w:val="yellow"/>
          <w:vertAlign w:val="superscript"/>
        </w:rPr>
        <w:t>st</w:t>
      </w:r>
      <w:r w:rsidR="005B29A9">
        <w:rPr>
          <w:rFonts w:asciiTheme="minorHAnsi" w:hAnsiTheme="minorHAnsi" w:cstheme="minorHAnsi"/>
          <w:color w:val="000000" w:themeColor="text1"/>
          <w:highlight w:val="yellow"/>
        </w:rPr>
        <w:t xml:space="preserve"> quarter </w:t>
      </w:r>
      <w:r w:rsidR="00CD18CA">
        <w:rPr>
          <w:rFonts w:asciiTheme="minorHAnsi" w:hAnsiTheme="minorHAnsi" w:cstheme="minorHAnsi"/>
          <w:color w:val="000000" w:themeColor="text1"/>
          <w:highlight w:val="yellow"/>
        </w:rPr>
        <w:t>collection percentage.</w:t>
      </w:r>
    </w:p>
    <w:p w14:paraId="647DCD5E" w14:textId="77777777" w:rsidR="000C7B06" w:rsidRPr="000C7B06" w:rsidRDefault="000C7B06" w:rsidP="000C7B06">
      <w:pPr>
        <w:pStyle w:val="ListParagraph"/>
        <w:rPr>
          <w:rFonts w:asciiTheme="minorHAnsi" w:eastAsiaTheme="minorEastAsia" w:hAnsiTheme="minorHAnsi" w:cstheme="minorBidi"/>
        </w:rPr>
      </w:pPr>
    </w:p>
    <w:p w14:paraId="017806EC" w14:textId="77777777" w:rsidR="000C7B06" w:rsidRDefault="000C7B06" w:rsidP="000C7B06">
      <w:pPr>
        <w:pStyle w:val="ListParagraph"/>
        <w:rPr>
          <w:rFonts w:asciiTheme="minorHAnsi" w:eastAsiaTheme="minorEastAsia" w:hAnsiTheme="minorHAnsi" w:cstheme="minorBidi"/>
        </w:rPr>
      </w:pPr>
    </w:p>
    <w:p w14:paraId="1F89B5D8" w14:textId="0F4FFDB3" w:rsidR="004D71F4" w:rsidRDefault="2796D781" w:rsidP="2796D781">
      <w:pPr>
        <w:jc w:val="both"/>
        <w:rPr>
          <w:rFonts w:asciiTheme="minorHAnsi" w:eastAsiaTheme="minorEastAsia" w:hAnsiTheme="minorHAnsi" w:cstheme="minorBidi"/>
        </w:rPr>
      </w:pPr>
      <w:r w:rsidRPr="2796D781">
        <w:rPr>
          <w:rFonts w:asciiTheme="minorHAnsi" w:eastAsiaTheme="minorEastAsia" w:hAnsiTheme="minorHAnsi" w:cstheme="minorBidi"/>
          <w:b/>
          <w:bCs/>
          <w:i/>
          <w:iCs/>
        </w:rPr>
        <w:t xml:space="preserve">Expenditures. </w:t>
      </w:r>
      <w:r w:rsidRPr="2796D781">
        <w:rPr>
          <w:rFonts w:asciiTheme="minorHAnsi" w:eastAsiaTheme="minorEastAsia" w:hAnsiTheme="minorHAnsi" w:cstheme="minorBidi"/>
        </w:rPr>
        <w:t>General Fund</w:t>
      </w:r>
      <w:r w:rsidR="00871D9D">
        <w:rPr>
          <w:rFonts w:asciiTheme="minorHAnsi" w:eastAsiaTheme="minorEastAsia" w:hAnsiTheme="minorHAnsi" w:cstheme="minorBidi"/>
        </w:rPr>
        <w:t>,</w:t>
      </w:r>
      <w:r w:rsidRPr="2796D781">
        <w:rPr>
          <w:rFonts w:asciiTheme="minorHAnsi" w:eastAsiaTheme="minorEastAsia" w:hAnsiTheme="minorHAnsi" w:cstheme="minorBidi"/>
        </w:rPr>
        <w:t xml:space="preserve"> Capital Improvement Fund</w:t>
      </w:r>
      <w:r w:rsidR="00871D9D">
        <w:rPr>
          <w:rFonts w:asciiTheme="minorHAnsi" w:eastAsiaTheme="minorEastAsia" w:hAnsiTheme="minorHAnsi" w:cstheme="minorBidi"/>
        </w:rPr>
        <w:t xml:space="preserve"> and </w:t>
      </w:r>
      <w:r w:rsidR="00871D9D" w:rsidRPr="00871D9D">
        <w:rPr>
          <w:rFonts w:asciiTheme="minorHAnsi" w:eastAsiaTheme="minorEastAsia" w:hAnsiTheme="minorHAnsi" w:cstheme="minorBidi"/>
        </w:rPr>
        <w:t>Reappraisal Reserve Fund</w:t>
      </w:r>
      <w:r w:rsidRPr="00871D9D">
        <w:rPr>
          <w:rFonts w:asciiTheme="minorHAnsi" w:eastAsiaTheme="minorEastAsia" w:hAnsiTheme="minorHAnsi" w:cstheme="minorBidi"/>
        </w:rPr>
        <w:t xml:space="preserve"> expenditures and encumbrances through September 30, 201</w:t>
      </w:r>
      <w:r w:rsidR="007E4723" w:rsidRPr="00871D9D">
        <w:rPr>
          <w:rFonts w:asciiTheme="minorHAnsi" w:eastAsiaTheme="minorEastAsia" w:hAnsiTheme="minorHAnsi" w:cstheme="minorBidi"/>
        </w:rPr>
        <w:t>8</w:t>
      </w:r>
      <w:r w:rsidRPr="00871D9D">
        <w:rPr>
          <w:rFonts w:asciiTheme="minorHAnsi" w:eastAsiaTheme="minorEastAsia" w:hAnsiTheme="minorHAnsi" w:cstheme="minorBidi"/>
        </w:rPr>
        <w:t xml:space="preserve"> total $1</w:t>
      </w:r>
      <w:r w:rsidR="00B778FB" w:rsidRPr="00871D9D">
        <w:rPr>
          <w:rFonts w:asciiTheme="minorHAnsi" w:eastAsiaTheme="minorEastAsia" w:hAnsiTheme="minorHAnsi" w:cstheme="minorBidi"/>
        </w:rPr>
        <w:t>19</w:t>
      </w:r>
      <w:r w:rsidRPr="00871D9D">
        <w:rPr>
          <w:rFonts w:asciiTheme="minorHAnsi" w:eastAsiaTheme="minorEastAsia" w:hAnsiTheme="minorHAnsi" w:cstheme="minorBidi"/>
        </w:rPr>
        <w:t>,</w:t>
      </w:r>
      <w:r w:rsidR="00B778FB" w:rsidRPr="00871D9D">
        <w:rPr>
          <w:rFonts w:asciiTheme="minorHAnsi" w:eastAsiaTheme="minorEastAsia" w:hAnsiTheme="minorHAnsi" w:cstheme="minorBidi"/>
        </w:rPr>
        <w:t>2</w:t>
      </w:r>
      <w:r w:rsidR="00B778FB" w:rsidRPr="005D3BEF">
        <w:rPr>
          <w:rFonts w:asciiTheme="minorHAnsi" w:eastAsiaTheme="minorEastAsia" w:hAnsiTheme="minorHAnsi" w:cstheme="minorBidi"/>
        </w:rPr>
        <w:t>85</w:t>
      </w:r>
      <w:r w:rsidRPr="005D3BEF">
        <w:rPr>
          <w:rFonts w:asciiTheme="minorHAnsi" w:eastAsiaTheme="minorEastAsia" w:hAnsiTheme="minorHAnsi" w:cstheme="minorBidi"/>
        </w:rPr>
        <w:t>,</w:t>
      </w:r>
      <w:r w:rsidR="00B778FB" w:rsidRPr="005D3BEF">
        <w:rPr>
          <w:rFonts w:asciiTheme="minorHAnsi" w:eastAsiaTheme="minorEastAsia" w:hAnsiTheme="minorHAnsi" w:cstheme="minorBidi"/>
        </w:rPr>
        <w:t>967</w:t>
      </w:r>
      <w:r w:rsidRPr="005D3BEF">
        <w:rPr>
          <w:rFonts w:asciiTheme="minorHAnsi" w:eastAsiaTheme="minorEastAsia" w:hAnsiTheme="minorHAnsi" w:cstheme="minorBidi"/>
        </w:rPr>
        <w:t xml:space="preserve"> or 2</w:t>
      </w:r>
      <w:r w:rsidR="00B778FB" w:rsidRPr="005D3BEF">
        <w:rPr>
          <w:rFonts w:asciiTheme="minorHAnsi" w:eastAsiaTheme="minorEastAsia" w:hAnsiTheme="minorHAnsi" w:cstheme="minorBidi"/>
        </w:rPr>
        <w:t>2</w:t>
      </w:r>
      <w:r w:rsidRPr="005D3BEF">
        <w:rPr>
          <w:rFonts w:asciiTheme="minorHAnsi" w:eastAsiaTheme="minorEastAsia" w:hAnsiTheme="minorHAnsi" w:cstheme="minorBidi"/>
        </w:rPr>
        <w:t xml:space="preserve">.80%, of the budget. The percentage is </w:t>
      </w:r>
      <w:r w:rsidR="00046ED1" w:rsidRPr="005D3BEF">
        <w:rPr>
          <w:rFonts w:asciiTheme="minorHAnsi" w:eastAsiaTheme="minorEastAsia" w:hAnsiTheme="minorHAnsi" w:cstheme="minorBidi"/>
        </w:rPr>
        <w:t>below</w:t>
      </w:r>
      <w:r w:rsidRPr="005D3BEF">
        <w:rPr>
          <w:rFonts w:asciiTheme="minorHAnsi" w:eastAsiaTheme="minorEastAsia" w:hAnsiTheme="minorHAnsi" w:cstheme="minorBidi"/>
        </w:rPr>
        <w:t xml:space="preserve"> th</w:t>
      </w:r>
      <w:r w:rsidR="001A576F" w:rsidRPr="005D3BEF">
        <w:rPr>
          <w:rFonts w:asciiTheme="minorHAnsi" w:eastAsiaTheme="minorEastAsia" w:hAnsiTheme="minorHAnsi" w:cstheme="minorBidi"/>
        </w:rPr>
        <w:t>e</w:t>
      </w:r>
      <w:r w:rsidRPr="005D3BEF">
        <w:rPr>
          <w:rFonts w:asciiTheme="minorHAnsi" w:eastAsiaTheme="minorEastAsia" w:hAnsiTheme="minorHAnsi" w:cstheme="minorBidi"/>
        </w:rPr>
        <w:t xml:space="preserve"> 4-year average of 2</w:t>
      </w:r>
      <w:r w:rsidR="00B778FB" w:rsidRPr="005D3BEF">
        <w:rPr>
          <w:rFonts w:asciiTheme="minorHAnsi" w:eastAsiaTheme="minorEastAsia" w:hAnsiTheme="minorHAnsi" w:cstheme="minorBidi"/>
        </w:rPr>
        <w:t>7</w:t>
      </w:r>
      <w:r w:rsidRPr="005D3BEF">
        <w:rPr>
          <w:rFonts w:asciiTheme="minorHAnsi" w:eastAsiaTheme="minorEastAsia" w:hAnsiTheme="minorHAnsi" w:cstheme="minorBidi"/>
        </w:rPr>
        <w:t>.</w:t>
      </w:r>
      <w:r w:rsidR="00B778FB" w:rsidRPr="005D3BEF">
        <w:rPr>
          <w:rFonts w:asciiTheme="minorHAnsi" w:eastAsiaTheme="minorEastAsia" w:hAnsiTheme="minorHAnsi" w:cstheme="minorBidi"/>
        </w:rPr>
        <w:t>22</w:t>
      </w:r>
      <w:r w:rsidRPr="005D3BEF">
        <w:rPr>
          <w:rFonts w:asciiTheme="minorHAnsi" w:eastAsiaTheme="minorEastAsia" w:hAnsiTheme="minorHAnsi" w:cstheme="minorBidi"/>
        </w:rPr>
        <w:t>%.</w:t>
      </w:r>
    </w:p>
    <w:p w14:paraId="355723E0" w14:textId="77777777" w:rsidR="00B778FB" w:rsidRDefault="00B778FB" w:rsidP="2796D781">
      <w:pPr>
        <w:jc w:val="both"/>
        <w:rPr>
          <w:rFonts w:asciiTheme="minorHAnsi" w:eastAsiaTheme="minorEastAsia" w:hAnsiTheme="minorHAnsi" w:cstheme="minorBidi"/>
        </w:rPr>
      </w:pPr>
    </w:p>
    <w:p w14:paraId="2667A7E7" w14:textId="4A0FA047" w:rsidR="00204C39" w:rsidRDefault="2796D781" w:rsidP="2796D781">
      <w:pPr>
        <w:jc w:val="both"/>
        <w:rPr>
          <w:rFonts w:asciiTheme="minorHAnsi" w:eastAsiaTheme="minorEastAsia" w:hAnsiTheme="minorHAnsi" w:cstheme="minorBidi"/>
        </w:rPr>
      </w:pPr>
      <w:r w:rsidRPr="2796D781">
        <w:rPr>
          <w:rFonts w:asciiTheme="minorHAnsi" w:eastAsiaTheme="minorEastAsia" w:hAnsiTheme="minorHAnsi" w:cstheme="minorBidi"/>
        </w:rPr>
        <w:t xml:space="preserve">During the first quarter, expenditure percentages for </w:t>
      </w:r>
      <w:r w:rsidRPr="001E6805">
        <w:rPr>
          <w:rFonts w:asciiTheme="minorHAnsi" w:eastAsiaTheme="minorEastAsia" w:hAnsiTheme="minorHAnsi" w:cstheme="minorBidi"/>
        </w:rPr>
        <w:t xml:space="preserve">some departments exceeded the 4-year average spending levels </w:t>
      </w:r>
      <w:r w:rsidR="00871D9D">
        <w:rPr>
          <w:rFonts w:asciiTheme="minorHAnsi" w:eastAsiaTheme="minorEastAsia" w:hAnsiTheme="minorHAnsi" w:cstheme="minorBidi"/>
        </w:rPr>
        <w:t xml:space="preserve">often </w:t>
      </w:r>
      <w:r w:rsidRPr="001E6805">
        <w:rPr>
          <w:rFonts w:asciiTheme="minorHAnsi" w:eastAsiaTheme="minorEastAsia" w:hAnsiTheme="minorHAnsi" w:cstheme="minorBidi"/>
        </w:rPr>
        <w:t xml:space="preserve">due in part to </w:t>
      </w:r>
      <w:r w:rsidR="00871D9D">
        <w:rPr>
          <w:rFonts w:asciiTheme="minorHAnsi" w:eastAsiaTheme="minorEastAsia" w:hAnsiTheme="minorHAnsi" w:cstheme="minorBidi"/>
        </w:rPr>
        <w:t xml:space="preserve">the timing of </w:t>
      </w:r>
      <w:r w:rsidRPr="001E6805">
        <w:rPr>
          <w:rFonts w:asciiTheme="minorHAnsi" w:eastAsiaTheme="minorEastAsia" w:hAnsiTheme="minorHAnsi" w:cstheme="minorBidi"/>
        </w:rPr>
        <w:t>encumbered contracts</w:t>
      </w:r>
      <w:r w:rsidR="00871D9D">
        <w:rPr>
          <w:rFonts w:asciiTheme="minorHAnsi" w:eastAsiaTheme="minorEastAsia" w:hAnsiTheme="minorHAnsi" w:cstheme="minorBidi"/>
        </w:rPr>
        <w:t>.</w:t>
      </w:r>
      <w:r w:rsidRPr="2796D781">
        <w:rPr>
          <w:rFonts w:asciiTheme="minorHAnsi" w:eastAsiaTheme="minorEastAsia" w:hAnsiTheme="minorHAnsi" w:cstheme="minorBidi"/>
        </w:rPr>
        <w:t xml:space="preserve"> </w:t>
      </w:r>
      <w:r w:rsidR="00674F8F">
        <w:rPr>
          <w:rFonts w:asciiTheme="minorHAnsi" w:eastAsiaTheme="minorEastAsia" w:hAnsiTheme="minorHAnsi" w:cstheme="minorBidi"/>
        </w:rPr>
        <w:t>Based on past trends a</w:t>
      </w:r>
      <w:r w:rsidRPr="2796D781">
        <w:rPr>
          <w:rFonts w:asciiTheme="minorHAnsi" w:eastAsiaTheme="minorEastAsia" w:hAnsiTheme="minorHAnsi" w:cstheme="minorBidi"/>
        </w:rPr>
        <w:t xml:space="preserve">s the fiscal year progresses, a normal expenditure pattern </w:t>
      </w:r>
      <w:r w:rsidR="00871D9D">
        <w:rPr>
          <w:rFonts w:asciiTheme="minorHAnsi" w:eastAsiaTheme="minorEastAsia" w:hAnsiTheme="minorHAnsi" w:cstheme="minorBidi"/>
        </w:rPr>
        <w:t xml:space="preserve">usually </w:t>
      </w:r>
      <w:r w:rsidRPr="2796D781">
        <w:rPr>
          <w:rFonts w:asciiTheme="minorHAnsi" w:eastAsiaTheme="minorEastAsia" w:hAnsiTheme="minorHAnsi" w:cstheme="minorBidi"/>
        </w:rPr>
        <w:t>emerge</w:t>
      </w:r>
      <w:r w:rsidR="00F9784F">
        <w:rPr>
          <w:rFonts w:asciiTheme="minorHAnsi" w:eastAsiaTheme="minorEastAsia" w:hAnsiTheme="minorHAnsi" w:cstheme="minorBidi"/>
        </w:rPr>
        <w:t>s</w:t>
      </w:r>
      <w:r w:rsidR="00674F8F">
        <w:rPr>
          <w:rFonts w:asciiTheme="minorHAnsi" w:eastAsiaTheme="minorEastAsia" w:hAnsiTheme="minorHAnsi" w:cstheme="minorBidi"/>
        </w:rPr>
        <w:t>.</w:t>
      </w:r>
      <w:r w:rsidRPr="2796D781">
        <w:rPr>
          <w:rFonts w:asciiTheme="minorHAnsi" w:eastAsiaTheme="minorEastAsia" w:hAnsiTheme="minorHAnsi" w:cstheme="minorBidi"/>
        </w:rPr>
        <w:t xml:space="preserve">  All expenditure levels were reviewed </w:t>
      </w:r>
      <w:r w:rsidR="00046ED1">
        <w:rPr>
          <w:rFonts w:asciiTheme="minorHAnsi" w:eastAsiaTheme="minorEastAsia" w:hAnsiTheme="minorHAnsi" w:cstheme="minorBidi"/>
        </w:rPr>
        <w:t>and a brief explanation for</w:t>
      </w:r>
      <w:r w:rsidRPr="2796D781">
        <w:rPr>
          <w:rFonts w:asciiTheme="minorHAnsi" w:eastAsiaTheme="minorEastAsia" w:hAnsiTheme="minorHAnsi" w:cstheme="minorBidi"/>
        </w:rPr>
        <w:t xml:space="preserve"> those trending at the higher levels noted in red</w:t>
      </w:r>
      <w:r w:rsidR="00046ED1">
        <w:rPr>
          <w:rFonts w:asciiTheme="minorHAnsi" w:eastAsiaTheme="minorEastAsia" w:hAnsiTheme="minorHAnsi" w:cstheme="minorBidi"/>
        </w:rPr>
        <w:t xml:space="preserve"> follows below</w:t>
      </w:r>
      <w:r w:rsidRPr="2796D781">
        <w:rPr>
          <w:rFonts w:asciiTheme="minorHAnsi" w:eastAsiaTheme="minorEastAsia" w:hAnsiTheme="minorHAnsi" w:cstheme="minorBidi"/>
        </w:rPr>
        <w:t xml:space="preserve">.  </w:t>
      </w:r>
    </w:p>
    <w:p w14:paraId="42A3B67C" w14:textId="5F97011E" w:rsidR="2796D781" w:rsidRDefault="2796D781" w:rsidP="2796D781">
      <w:pPr>
        <w:jc w:val="both"/>
        <w:rPr>
          <w:rFonts w:asciiTheme="minorHAnsi" w:eastAsiaTheme="minorEastAsia" w:hAnsiTheme="minorHAnsi" w:cstheme="minorBidi"/>
        </w:rPr>
      </w:pPr>
    </w:p>
    <w:p w14:paraId="0E340C7C" w14:textId="0AA954AF" w:rsidR="00204C39" w:rsidRDefault="05DC982A" w:rsidP="05DC982A">
      <w:pPr>
        <w:autoSpaceDE w:val="0"/>
        <w:autoSpaceDN w:val="0"/>
        <w:adjustRightInd w:val="0"/>
        <w:jc w:val="both"/>
        <w:rPr>
          <w:rFonts w:asciiTheme="minorHAnsi" w:eastAsiaTheme="minorEastAsia" w:hAnsiTheme="minorHAnsi" w:cstheme="minorBidi"/>
          <w:color w:val="000000" w:themeColor="text1"/>
        </w:rPr>
      </w:pPr>
      <w:r w:rsidRPr="05DC982A">
        <w:rPr>
          <w:rFonts w:asciiTheme="minorHAnsi" w:eastAsiaTheme="minorEastAsia" w:hAnsiTheme="minorHAnsi" w:cstheme="minorBidi"/>
          <w:color w:val="000000" w:themeColor="text1"/>
        </w:rPr>
        <w:t xml:space="preserve">Agency specific expenditure items </w:t>
      </w:r>
      <w:r w:rsidR="00046ED1">
        <w:rPr>
          <w:rFonts w:asciiTheme="minorHAnsi" w:eastAsiaTheme="minorEastAsia" w:hAnsiTheme="minorHAnsi" w:cstheme="minorBidi"/>
          <w:color w:val="000000" w:themeColor="text1"/>
        </w:rPr>
        <w:t xml:space="preserve">in red </w:t>
      </w:r>
      <w:r w:rsidRPr="05DC982A">
        <w:rPr>
          <w:rFonts w:asciiTheme="minorHAnsi" w:eastAsiaTheme="minorEastAsia" w:hAnsiTheme="minorHAnsi" w:cstheme="minorBidi"/>
          <w:color w:val="000000" w:themeColor="text1"/>
        </w:rPr>
        <w:t>include:</w:t>
      </w:r>
    </w:p>
    <w:p w14:paraId="74F8706A" w14:textId="77777777" w:rsidR="00204C39" w:rsidRDefault="00204C39" w:rsidP="05DC982A">
      <w:pPr>
        <w:autoSpaceDE w:val="0"/>
        <w:autoSpaceDN w:val="0"/>
        <w:adjustRightInd w:val="0"/>
        <w:jc w:val="both"/>
        <w:rPr>
          <w:rFonts w:asciiTheme="minorHAnsi" w:eastAsiaTheme="minorEastAsia" w:hAnsiTheme="minorHAnsi" w:cstheme="minorBidi"/>
          <w:color w:val="000000" w:themeColor="text1"/>
        </w:rPr>
      </w:pPr>
    </w:p>
    <w:p w14:paraId="561D5A5C" w14:textId="548495B0" w:rsidR="00E25B75" w:rsidRPr="00E25B75" w:rsidRDefault="00E25B75" w:rsidP="007E4723">
      <w:pPr>
        <w:pStyle w:val="ListParagraph"/>
        <w:numPr>
          <w:ilvl w:val="0"/>
          <w:numId w:val="34"/>
        </w:numPr>
        <w:jc w:val="both"/>
        <w:rPr>
          <w:rFonts w:asciiTheme="minorHAnsi" w:eastAsiaTheme="minorEastAsia" w:hAnsiTheme="minorHAnsi" w:cstheme="minorBidi"/>
          <w:highlight w:val="yellow"/>
        </w:rPr>
      </w:pPr>
      <w:r w:rsidRPr="00E25B75">
        <w:rPr>
          <w:rFonts w:asciiTheme="minorHAnsi" w:eastAsiaTheme="minorEastAsia" w:hAnsiTheme="minorHAnsi" w:cstheme="minorBidi"/>
          <w:highlight w:val="yellow"/>
        </w:rPr>
        <w:t>Information Technology-</w:t>
      </w:r>
      <w:r w:rsidR="007C071A">
        <w:rPr>
          <w:rFonts w:asciiTheme="minorHAnsi" w:eastAsiaTheme="minorEastAsia" w:hAnsiTheme="minorHAnsi" w:cstheme="minorBidi"/>
          <w:highlight w:val="yellow"/>
        </w:rPr>
        <w:t xml:space="preserve"> The Primary driver for higher 1</w:t>
      </w:r>
      <w:r w:rsidR="007C071A" w:rsidRPr="007C071A">
        <w:rPr>
          <w:rFonts w:asciiTheme="minorHAnsi" w:eastAsiaTheme="minorEastAsia" w:hAnsiTheme="minorHAnsi" w:cstheme="minorBidi"/>
          <w:highlight w:val="yellow"/>
          <w:vertAlign w:val="superscript"/>
        </w:rPr>
        <w:t>st</w:t>
      </w:r>
      <w:r w:rsidR="007C071A">
        <w:rPr>
          <w:rFonts w:asciiTheme="minorHAnsi" w:eastAsiaTheme="minorEastAsia" w:hAnsiTheme="minorHAnsi" w:cstheme="minorBidi"/>
          <w:highlight w:val="yellow"/>
        </w:rPr>
        <w:t xml:space="preserve"> quarter expenditures are due to contract encumbrances. Information technology Services has moved to have all contracts align with the fiscal year, which requires early encumbrance of the funds. </w:t>
      </w:r>
    </w:p>
    <w:p w14:paraId="41F0A291" w14:textId="77777777" w:rsidR="00E25B75" w:rsidRPr="00E25B75" w:rsidRDefault="00E25B75" w:rsidP="00E25B75">
      <w:pPr>
        <w:pStyle w:val="ListParagraph"/>
        <w:jc w:val="both"/>
        <w:rPr>
          <w:rFonts w:asciiTheme="minorHAnsi" w:eastAsiaTheme="minorEastAsia" w:hAnsiTheme="minorHAnsi" w:cstheme="minorBidi"/>
          <w:highlight w:val="yellow"/>
        </w:rPr>
      </w:pPr>
    </w:p>
    <w:p w14:paraId="541A9284" w14:textId="36B8CCF9" w:rsidR="00C458F5" w:rsidRPr="00E25B75" w:rsidRDefault="001817B8" w:rsidP="007E4723">
      <w:pPr>
        <w:pStyle w:val="ListParagraph"/>
        <w:numPr>
          <w:ilvl w:val="0"/>
          <w:numId w:val="34"/>
        </w:numPr>
        <w:jc w:val="both"/>
        <w:rPr>
          <w:rFonts w:asciiTheme="minorHAnsi" w:eastAsiaTheme="minorEastAsia" w:hAnsiTheme="minorHAnsi" w:cstheme="minorBidi"/>
          <w:highlight w:val="yellow"/>
        </w:rPr>
      </w:pPr>
      <w:r w:rsidRPr="00E25B75">
        <w:rPr>
          <w:rFonts w:asciiTheme="minorHAnsi" w:eastAsiaTheme="minorEastAsia" w:hAnsiTheme="minorHAnsi" w:cstheme="minorBidi"/>
          <w:color w:val="000000" w:themeColor="text1"/>
          <w:highlight w:val="yellow"/>
        </w:rPr>
        <w:t>Budget &amp; Management Services</w:t>
      </w:r>
      <w:r w:rsidR="00E25B75" w:rsidRPr="00E25B75">
        <w:rPr>
          <w:rFonts w:asciiTheme="minorHAnsi" w:eastAsiaTheme="minorEastAsia" w:hAnsiTheme="minorHAnsi" w:cstheme="minorBidi"/>
          <w:color w:val="000000" w:themeColor="text1"/>
          <w:highlight w:val="yellow"/>
        </w:rPr>
        <w:t>-</w:t>
      </w:r>
      <w:r w:rsidR="00046ED1">
        <w:rPr>
          <w:rFonts w:asciiTheme="minorHAnsi" w:eastAsiaTheme="minorEastAsia" w:hAnsiTheme="minorHAnsi" w:cstheme="minorBidi"/>
          <w:color w:val="000000" w:themeColor="text1"/>
          <w:highlight w:val="yellow"/>
        </w:rPr>
        <w:t xml:space="preserve"> </w:t>
      </w:r>
      <w:r w:rsidR="00B23A45">
        <w:rPr>
          <w:rFonts w:asciiTheme="minorHAnsi" w:eastAsiaTheme="minorEastAsia" w:hAnsiTheme="minorHAnsi" w:cstheme="minorBidi"/>
          <w:color w:val="000000" w:themeColor="text1"/>
          <w:highlight w:val="yellow"/>
        </w:rPr>
        <w:t xml:space="preserve">The primary </w:t>
      </w:r>
      <w:r w:rsidR="00674F8F">
        <w:rPr>
          <w:rFonts w:asciiTheme="minorHAnsi" w:eastAsiaTheme="minorEastAsia" w:hAnsiTheme="minorHAnsi" w:cstheme="minorBidi"/>
          <w:color w:val="000000" w:themeColor="text1"/>
          <w:highlight w:val="yellow"/>
        </w:rPr>
        <w:t>cause</w:t>
      </w:r>
      <w:r w:rsidR="00B23A45">
        <w:rPr>
          <w:rFonts w:asciiTheme="minorHAnsi" w:eastAsiaTheme="minorEastAsia" w:hAnsiTheme="minorHAnsi" w:cstheme="minorBidi"/>
          <w:color w:val="000000" w:themeColor="text1"/>
          <w:highlight w:val="yellow"/>
        </w:rPr>
        <w:t xml:space="preserve"> for a higher trend on 1</w:t>
      </w:r>
      <w:r w:rsidR="00B23A45" w:rsidRPr="00B23A45">
        <w:rPr>
          <w:rFonts w:asciiTheme="minorHAnsi" w:eastAsiaTheme="minorEastAsia" w:hAnsiTheme="minorHAnsi" w:cstheme="minorBidi"/>
          <w:color w:val="000000" w:themeColor="text1"/>
          <w:highlight w:val="yellow"/>
          <w:vertAlign w:val="superscript"/>
        </w:rPr>
        <w:t>st</w:t>
      </w:r>
      <w:r w:rsidR="00B23A45">
        <w:rPr>
          <w:rFonts w:asciiTheme="minorHAnsi" w:eastAsiaTheme="minorEastAsia" w:hAnsiTheme="minorHAnsi" w:cstheme="minorBidi"/>
          <w:color w:val="000000" w:themeColor="text1"/>
          <w:highlight w:val="yellow"/>
        </w:rPr>
        <w:t xml:space="preserve"> Quarter expenditures is due to contract encumbrances.  Budget and Management Services </w:t>
      </w:r>
      <w:r w:rsidR="00D66357">
        <w:rPr>
          <w:rFonts w:asciiTheme="minorHAnsi" w:eastAsiaTheme="minorEastAsia" w:hAnsiTheme="minorHAnsi" w:cstheme="minorBidi"/>
          <w:color w:val="000000" w:themeColor="text1"/>
          <w:highlight w:val="yellow"/>
        </w:rPr>
        <w:t xml:space="preserve">uses several </w:t>
      </w:r>
      <w:r w:rsidR="00B23A45">
        <w:rPr>
          <w:rFonts w:asciiTheme="minorHAnsi" w:eastAsiaTheme="minorEastAsia" w:hAnsiTheme="minorHAnsi" w:cstheme="minorBidi"/>
          <w:color w:val="000000" w:themeColor="text1"/>
          <w:highlight w:val="yellow"/>
        </w:rPr>
        <w:t xml:space="preserve">software platforms to monitor progress toward Managing for Results (MFR) and </w:t>
      </w:r>
      <w:r w:rsidR="00D66357">
        <w:rPr>
          <w:rFonts w:asciiTheme="minorHAnsi" w:eastAsiaTheme="minorEastAsia" w:hAnsiTheme="minorHAnsi" w:cstheme="minorBidi"/>
          <w:color w:val="000000" w:themeColor="text1"/>
          <w:highlight w:val="yellow"/>
        </w:rPr>
        <w:t xml:space="preserve">for </w:t>
      </w:r>
      <w:r w:rsidR="00B23A45">
        <w:rPr>
          <w:rFonts w:asciiTheme="minorHAnsi" w:eastAsiaTheme="minorEastAsia" w:hAnsiTheme="minorHAnsi" w:cstheme="minorBidi"/>
          <w:color w:val="000000" w:themeColor="text1"/>
          <w:highlight w:val="yellow"/>
        </w:rPr>
        <w:t>manag</w:t>
      </w:r>
      <w:r w:rsidR="00D66357">
        <w:rPr>
          <w:rFonts w:asciiTheme="minorHAnsi" w:eastAsiaTheme="minorEastAsia" w:hAnsiTheme="minorHAnsi" w:cstheme="minorBidi"/>
          <w:color w:val="000000" w:themeColor="text1"/>
          <w:highlight w:val="yellow"/>
        </w:rPr>
        <w:t>ing the administration of the n</w:t>
      </w:r>
      <w:r w:rsidR="00B23A45">
        <w:rPr>
          <w:rFonts w:asciiTheme="minorHAnsi" w:eastAsiaTheme="minorEastAsia" w:hAnsiTheme="minorHAnsi" w:cstheme="minorBidi"/>
          <w:color w:val="000000" w:themeColor="text1"/>
          <w:highlight w:val="yellow"/>
        </w:rPr>
        <w:t>on-</w:t>
      </w:r>
      <w:r w:rsidR="00D66357">
        <w:rPr>
          <w:rFonts w:asciiTheme="minorHAnsi" w:eastAsiaTheme="minorEastAsia" w:hAnsiTheme="minorHAnsi" w:cstheme="minorBidi"/>
          <w:color w:val="000000" w:themeColor="text1"/>
          <w:highlight w:val="yellow"/>
        </w:rPr>
        <w:t>p</w:t>
      </w:r>
      <w:r w:rsidR="00B23A45">
        <w:rPr>
          <w:rFonts w:asciiTheme="minorHAnsi" w:eastAsiaTheme="minorEastAsia" w:hAnsiTheme="minorHAnsi" w:cstheme="minorBidi"/>
          <w:color w:val="000000" w:themeColor="text1"/>
          <w:highlight w:val="yellow"/>
        </w:rPr>
        <w:t xml:space="preserve">rofit </w:t>
      </w:r>
      <w:r w:rsidR="00D66357">
        <w:rPr>
          <w:rFonts w:asciiTheme="minorHAnsi" w:eastAsiaTheme="minorEastAsia" w:hAnsiTheme="minorHAnsi" w:cstheme="minorBidi"/>
          <w:color w:val="000000" w:themeColor="text1"/>
          <w:highlight w:val="yellow"/>
        </w:rPr>
        <w:t>funding process.  Expenses for these contracts were encumbered during the 1</w:t>
      </w:r>
      <w:r w:rsidR="00D66357" w:rsidRPr="00D66357">
        <w:rPr>
          <w:rFonts w:asciiTheme="minorHAnsi" w:eastAsiaTheme="minorEastAsia" w:hAnsiTheme="minorHAnsi" w:cstheme="minorBidi"/>
          <w:color w:val="000000" w:themeColor="text1"/>
          <w:highlight w:val="yellow"/>
          <w:vertAlign w:val="superscript"/>
        </w:rPr>
        <w:t>st</w:t>
      </w:r>
      <w:r w:rsidR="00D66357">
        <w:rPr>
          <w:rFonts w:asciiTheme="minorHAnsi" w:eastAsiaTheme="minorEastAsia" w:hAnsiTheme="minorHAnsi" w:cstheme="minorBidi"/>
          <w:color w:val="000000" w:themeColor="text1"/>
          <w:highlight w:val="yellow"/>
        </w:rPr>
        <w:t xml:space="preserve"> quarter.  </w:t>
      </w:r>
      <w:r w:rsidR="00B23A45">
        <w:rPr>
          <w:rFonts w:asciiTheme="minorHAnsi" w:eastAsiaTheme="minorEastAsia" w:hAnsiTheme="minorHAnsi" w:cstheme="minorBidi"/>
          <w:color w:val="000000" w:themeColor="text1"/>
          <w:highlight w:val="yellow"/>
        </w:rPr>
        <w:t xml:space="preserve"> </w:t>
      </w:r>
    </w:p>
    <w:p w14:paraId="06A27143" w14:textId="77777777" w:rsidR="00E25B75" w:rsidRPr="00E25B75" w:rsidRDefault="00E25B75" w:rsidP="00E25B75">
      <w:pPr>
        <w:pStyle w:val="ListParagraph"/>
        <w:jc w:val="both"/>
        <w:rPr>
          <w:rFonts w:asciiTheme="minorHAnsi" w:eastAsiaTheme="minorEastAsia" w:hAnsiTheme="minorHAnsi" w:cstheme="minorBidi"/>
          <w:highlight w:val="yellow"/>
        </w:rPr>
      </w:pPr>
    </w:p>
    <w:p w14:paraId="3B52019E" w14:textId="45659357" w:rsidR="00D26C4E" w:rsidRPr="00674F8F" w:rsidRDefault="00E25B75" w:rsidP="00D51588">
      <w:pPr>
        <w:pStyle w:val="ListParagraph"/>
        <w:numPr>
          <w:ilvl w:val="0"/>
          <w:numId w:val="34"/>
        </w:numPr>
        <w:jc w:val="both"/>
        <w:textAlignment w:val="center"/>
        <w:rPr>
          <w:sz w:val="22"/>
          <w:szCs w:val="22"/>
        </w:rPr>
      </w:pPr>
      <w:r w:rsidRPr="00674F8F">
        <w:rPr>
          <w:rFonts w:asciiTheme="minorHAnsi" w:eastAsiaTheme="minorEastAsia" w:hAnsiTheme="minorHAnsi" w:cstheme="minorBidi"/>
          <w:highlight w:val="yellow"/>
        </w:rPr>
        <w:t>Fire Marshall-</w:t>
      </w:r>
      <w:r w:rsidR="00D448D3" w:rsidRPr="00674F8F">
        <w:rPr>
          <w:rFonts w:asciiTheme="minorHAnsi" w:eastAsiaTheme="minorEastAsia" w:hAnsiTheme="minorHAnsi" w:cstheme="minorBidi"/>
          <w:highlight w:val="yellow"/>
        </w:rPr>
        <w:t xml:space="preserve"> The </w:t>
      </w:r>
      <w:r w:rsidR="004329CA" w:rsidRPr="00674F8F">
        <w:rPr>
          <w:rFonts w:asciiTheme="minorHAnsi" w:eastAsiaTheme="minorEastAsia" w:hAnsiTheme="minorHAnsi" w:cstheme="minorBidi"/>
          <w:highlight w:val="yellow"/>
        </w:rPr>
        <w:t>spending in this department</w:t>
      </w:r>
      <w:r w:rsidR="00674F8F" w:rsidRPr="00674F8F">
        <w:rPr>
          <w:rFonts w:asciiTheme="minorHAnsi" w:eastAsiaTheme="minorEastAsia" w:hAnsiTheme="minorHAnsi" w:cstheme="minorBidi"/>
          <w:highlight w:val="yellow"/>
        </w:rPr>
        <w:t>,</w:t>
      </w:r>
      <w:r w:rsidR="004329CA" w:rsidRPr="00674F8F">
        <w:rPr>
          <w:rFonts w:asciiTheme="minorHAnsi" w:eastAsiaTheme="minorEastAsia" w:hAnsiTheme="minorHAnsi" w:cstheme="minorBidi"/>
          <w:highlight w:val="yellow"/>
        </w:rPr>
        <w:t xml:space="preserve"> at a pace greater than the prior 4-year average</w:t>
      </w:r>
      <w:r w:rsidR="00674F8F" w:rsidRPr="00674F8F">
        <w:rPr>
          <w:rFonts w:asciiTheme="minorHAnsi" w:eastAsiaTheme="minorEastAsia" w:hAnsiTheme="minorHAnsi" w:cstheme="minorBidi"/>
          <w:highlight w:val="yellow"/>
        </w:rPr>
        <w:t>,</w:t>
      </w:r>
      <w:r w:rsidR="004329CA" w:rsidRPr="00674F8F">
        <w:rPr>
          <w:rFonts w:asciiTheme="minorHAnsi" w:eastAsiaTheme="minorEastAsia" w:hAnsiTheme="minorHAnsi" w:cstheme="minorBidi"/>
          <w:highlight w:val="yellow"/>
        </w:rPr>
        <w:t xml:space="preserve"> is related to Emergency Managements’ grant contracts being encumbered early in FY2018-19</w:t>
      </w:r>
      <w:r w:rsidR="000B64EA" w:rsidRPr="00674F8F">
        <w:rPr>
          <w:rFonts w:asciiTheme="minorHAnsi" w:eastAsiaTheme="minorEastAsia" w:hAnsiTheme="minorHAnsi" w:cstheme="minorBidi"/>
          <w:highlight w:val="yellow"/>
        </w:rPr>
        <w:t xml:space="preserve">; as opposed to prior years encumbrance being </w:t>
      </w:r>
      <w:r w:rsidR="001E6805" w:rsidRPr="00674F8F">
        <w:rPr>
          <w:rFonts w:asciiTheme="minorHAnsi" w:eastAsiaTheme="minorEastAsia" w:hAnsiTheme="minorHAnsi" w:cstheme="minorBidi"/>
          <w:highlight w:val="yellow"/>
        </w:rPr>
        <w:t>seen towards the latter half of the fiscal year.</w:t>
      </w:r>
      <w:r w:rsidR="00D26C4E" w:rsidRPr="00674F8F">
        <w:rPr>
          <w:sz w:val="22"/>
          <w:szCs w:val="22"/>
        </w:rPr>
        <w:br w:type="page"/>
      </w:r>
    </w:p>
    <w:p w14:paraId="08604F66" w14:textId="0A4F2EE2" w:rsidR="00500D81" w:rsidRDefault="003B2D21" w:rsidP="003B2D21">
      <w:pPr>
        <w:ind w:left="720"/>
        <w:textAlignment w:val="center"/>
        <w:rPr>
          <w:sz w:val="22"/>
          <w:szCs w:val="22"/>
        </w:rPr>
      </w:pPr>
      <w:r>
        <w:rPr>
          <w:noProof/>
        </w:rPr>
        <w:drawing>
          <wp:inline distT="0" distB="0" distL="0" distR="0" wp14:anchorId="75248459" wp14:editId="2015015B">
            <wp:extent cx="5457825" cy="736282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57825" cy="7362825"/>
                    </a:xfrm>
                    <a:prstGeom prst="rect">
                      <a:avLst/>
                    </a:prstGeom>
                    <a:ln w="12700">
                      <a:solidFill>
                        <a:schemeClr val="tx1"/>
                      </a:solidFill>
                    </a:ln>
                  </pic:spPr>
                </pic:pic>
              </a:graphicData>
            </a:graphic>
          </wp:inline>
        </w:drawing>
      </w:r>
    </w:p>
    <w:p w14:paraId="65C436F8" w14:textId="6DBBA773" w:rsidR="00D26C4E" w:rsidRDefault="00D26C4E">
      <w:pPr>
        <w:rPr>
          <w:noProof/>
        </w:rPr>
      </w:pPr>
    </w:p>
    <w:p w14:paraId="304DB10E" w14:textId="79C91C12" w:rsidR="00D26C4E" w:rsidRDefault="00D26C4E">
      <w:pPr>
        <w:rPr>
          <w:noProof/>
        </w:rPr>
      </w:pPr>
    </w:p>
    <w:p w14:paraId="6497E366" w14:textId="32DDC890" w:rsidR="00D26C4E" w:rsidRDefault="00D26C4E">
      <w:pPr>
        <w:rPr>
          <w:sz w:val="22"/>
          <w:szCs w:val="22"/>
        </w:rPr>
      </w:pPr>
      <w:r>
        <w:rPr>
          <w:sz w:val="22"/>
          <w:szCs w:val="22"/>
        </w:rPr>
        <w:br w:type="page"/>
      </w:r>
    </w:p>
    <w:p w14:paraId="7F4940EA" w14:textId="384C5C27" w:rsidR="008104AD" w:rsidRDefault="00683E0F" w:rsidP="008104AD">
      <w:pPr>
        <w:ind w:left="720"/>
        <w:textAlignment w:val="center"/>
        <w:rPr>
          <w:sz w:val="22"/>
          <w:szCs w:val="22"/>
        </w:rPr>
      </w:pPr>
      <w:bookmarkStart w:id="0" w:name="_GoBack"/>
      <w:r>
        <w:rPr>
          <w:noProof/>
        </w:rPr>
        <w:drawing>
          <wp:inline distT="0" distB="0" distL="0" distR="0" wp14:anchorId="59413E5E" wp14:editId="74896677">
            <wp:extent cx="5048250" cy="4335865"/>
            <wp:effectExtent l="19050" t="19050" r="1905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81568" cy="4364482"/>
                    </a:xfrm>
                    <a:prstGeom prst="rect">
                      <a:avLst/>
                    </a:prstGeom>
                    <a:ln w="12700">
                      <a:solidFill>
                        <a:schemeClr val="tx1"/>
                      </a:solidFill>
                    </a:ln>
                  </pic:spPr>
                </pic:pic>
              </a:graphicData>
            </a:graphic>
          </wp:inline>
        </w:drawing>
      </w:r>
      <w:bookmarkEnd w:id="0"/>
    </w:p>
    <w:p w14:paraId="6478037B" w14:textId="77777777" w:rsidR="008104AD" w:rsidRDefault="008104AD" w:rsidP="008104AD">
      <w:pPr>
        <w:ind w:left="720"/>
        <w:textAlignment w:val="center"/>
        <w:rPr>
          <w:sz w:val="22"/>
          <w:szCs w:val="22"/>
        </w:rPr>
      </w:pPr>
    </w:p>
    <w:p w14:paraId="3090B8AE" w14:textId="2E25E830" w:rsidR="00651C06" w:rsidRPr="00824DD7" w:rsidRDefault="00A93F65" w:rsidP="008104AD">
      <w:pPr>
        <w:ind w:left="720"/>
        <w:textAlignment w:val="center"/>
        <w:rPr>
          <w:sz w:val="22"/>
          <w:szCs w:val="22"/>
        </w:rPr>
      </w:pPr>
      <w:r>
        <w:rPr>
          <w:noProof/>
        </w:rPr>
        <w:drawing>
          <wp:inline distT="0" distB="0" distL="0" distR="0" wp14:anchorId="1DABA6BD" wp14:editId="59B77754">
            <wp:extent cx="5048250" cy="3484863"/>
            <wp:effectExtent l="19050" t="19050" r="19050" b="209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112503" cy="3529218"/>
                    </a:xfrm>
                    <a:prstGeom prst="rect">
                      <a:avLst/>
                    </a:prstGeom>
                    <a:ln w="12700">
                      <a:solidFill>
                        <a:schemeClr val="tx1"/>
                      </a:solidFill>
                    </a:ln>
                  </pic:spPr>
                </pic:pic>
              </a:graphicData>
            </a:graphic>
          </wp:inline>
        </w:drawing>
      </w:r>
    </w:p>
    <w:sectPr w:rsidR="00651C06" w:rsidRPr="00824DD7" w:rsidSect="00E7372D">
      <w:type w:val="continuous"/>
      <w:pgSz w:w="12240" w:h="15840"/>
      <w:pgMar w:top="1878" w:right="1296" w:bottom="90" w:left="1296" w:header="720" w:footer="7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FEF56" w14:textId="77777777" w:rsidR="00D1210F" w:rsidRDefault="00D1210F">
      <w:r>
        <w:separator/>
      </w:r>
    </w:p>
  </w:endnote>
  <w:endnote w:type="continuationSeparator" w:id="0">
    <w:p w14:paraId="645FE6DB" w14:textId="77777777" w:rsidR="00D1210F" w:rsidRDefault="00D1210F">
      <w:r>
        <w:continuationSeparator/>
      </w:r>
    </w:p>
  </w:endnote>
  <w:endnote w:type="continuationNotice" w:id="1">
    <w:p w14:paraId="79540288" w14:textId="77777777" w:rsidR="00D1210F" w:rsidRDefault="00D12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F46C" w14:textId="77777777" w:rsidR="00D1210F" w:rsidRDefault="00D121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0EFF7" w14:textId="77777777" w:rsidR="00D1210F" w:rsidRDefault="00D12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D3BC" w14:textId="54F162C2" w:rsidR="008104AD" w:rsidRPr="008104AD" w:rsidRDefault="008104AD" w:rsidP="008104AD">
    <w:pPr>
      <w:autoSpaceDE w:val="0"/>
      <w:autoSpaceDN w:val="0"/>
      <w:adjustRightInd w:val="0"/>
      <w:rPr>
        <w:b/>
        <w:bCs/>
        <w:i/>
        <w:iCs/>
        <w:color w:val="000000"/>
        <w:szCs w:val="36"/>
      </w:rPr>
    </w:pPr>
    <w:r>
      <w:rPr>
        <w:b/>
        <w:bCs/>
        <w:i/>
        <w:iCs/>
        <w:color w:val="000000"/>
        <w:szCs w:val="36"/>
      </w:rPr>
      <w:t>F</w:t>
    </w:r>
    <w:r w:rsidRPr="008104AD">
      <w:rPr>
        <w:b/>
        <w:bCs/>
        <w:i/>
        <w:iCs/>
        <w:color w:val="000000"/>
        <w:szCs w:val="36"/>
      </w:rPr>
      <w:t>irst</w:t>
    </w:r>
    <w:r w:rsidRPr="008104AD">
      <w:rPr>
        <w:rFonts w:ascii="Arial" w:hAnsi="Arial" w:cs="Arial"/>
        <w:b/>
        <w:bCs/>
        <w:color w:val="000000"/>
        <w:sz w:val="36"/>
        <w:szCs w:val="48"/>
      </w:rPr>
      <w:t xml:space="preserve"> </w:t>
    </w:r>
    <w:r w:rsidRPr="008104AD">
      <w:rPr>
        <w:b/>
        <w:bCs/>
        <w:i/>
        <w:iCs/>
        <w:color w:val="000000"/>
        <w:szCs w:val="36"/>
      </w:rPr>
      <w:t>Quarter of Fiscal Year 2018-19</w:t>
    </w:r>
    <w:r w:rsidR="00E7372D">
      <w:rPr>
        <w:b/>
        <w:bCs/>
        <w:i/>
        <w:iCs/>
        <w:color w:val="000000"/>
        <w:szCs w:val="36"/>
      </w:rPr>
      <w:ptab w:relativeTo="margin" w:alignment="right" w:leader="none"/>
    </w:r>
    <w:r w:rsidR="00E7372D" w:rsidRPr="00E7372D">
      <w:rPr>
        <w:b/>
        <w:bCs/>
        <w:i/>
        <w:iCs/>
        <w:color w:val="000000"/>
        <w:szCs w:val="36"/>
      </w:rPr>
      <w:fldChar w:fldCharType="begin"/>
    </w:r>
    <w:r w:rsidR="00E7372D" w:rsidRPr="00E7372D">
      <w:rPr>
        <w:b/>
        <w:bCs/>
        <w:i/>
        <w:iCs/>
        <w:color w:val="000000"/>
        <w:szCs w:val="36"/>
      </w:rPr>
      <w:instrText xml:space="preserve"> PAGE   \* MERGEFORMAT </w:instrText>
    </w:r>
    <w:r w:rsidR="00E7372D" w:rsidRPr="00E7372D">
      <w:rPr>
        <w:b/>
        <w:bCs/>
        <w:i/>
        <w:iCs/>
        <w:color w:val="000000"/>
        <w:szCs w:val="36"/>
      </w:rPr>
      <w:fldChar w:fldCharType="separate"/>
    </w:r>
    <w:r w:rsidR="00E7372D" w:rsidRPr="00E7372D">
      <w:rPr>
        <w:b/>
        <w:bCs/>
        <w:i/>
        <w:iCs/>
        <w:noProof/>
        <w:color w:val="000000"/>
        <w:szCs w:val="36"/>
      </w:rPr>
      <w:t>1</w:t>
    </w:r>
    <w:r w:rsidR="00E7372D" w:rsidRPr="00E7372D">
      <w:rPr>
        <w:b/>
        <w:bCs/>
        <w:i/>
        <w:iCs/>
        <w:noProof/>
        <w:color w:val="000000"/>
        <w:szCs w:val="36"/>
      </w:rPr>
      <w:fldChar w:fldCharType="end"/>
    </w:r>
    <w:r w:rsidR="00E7372D" w:rsidRPr="00E7372D">
      <w:rPr>
        <w:b/>
        <w:bCs/>
        <w:i/>
        <w:iCs/>
        <w:color w:val="000000"/>
        <w:szCs w:val="36"/>
      </w:rPr>
      <w:t xml:space="preserve"> | </w:t>
    </w:r>
    <w:r w:rsidR="00E7372D" w:rsidRPr="00E7372D">
      <w:rPr>
        <w:b/>
        <w:bCs/>
        <w:i/>
        <w:iCs/>
        <w:color w:val="7F7F7F" w:themeColor="background1" w:themeShade="7F"/>
        <w:spacing w:val="60"/>
        <w:szCs w:val="36"/>
      </w:rPr>
      <w:t>Page</w:t>
    </w:r>
  </w:p>
  <w:p w14:paraId="1CE77A56" w14:textId="77777777" w:rsidR="008104AD" w:rsidRPr="008104AD" w:rsidRDefault="008104AD" w:rsidP="008104AD">
    <w:pPr>
      <w:autoSpaceDE w:val="0"/>
      <w:autoSpaceDN w:val="0"/>
      <w:adjustRightInd w:val="0"/>
      <w:rPr>
        <w:sz w:val="18"/>
      </w:rPr>
    </w:pPr>
    <w:r w:rsidRPr="008104AD">
      <w:rPr>
        <w:b/>
        <w:bCs/>
        <w:i/>
        <w:iCs/>
        <w:color w:val="000000"/>
        <w:sz w:val="20"/>
        <w:szCs w:val="28"/>
      </w:rPr>
      <w:t>October 31,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21D53" w14:textId="77777777" w:rsidR="00D1210F" w:rsidRDefault="00D1210F">
      <w:r>
        <w:separator/>
      </w:r>
    </w:p>
  </w:footnote>
  <w:footnote w:type="continuationSeparator" w:id="0">
    <w:p w14:paraId="10387058" w14:textId="77777777" w:rsidR="00D1210F" w:rsidRDefault="00D1210F">
      <w:r>
        <w:continuationSeparator/>
      </w:r>
    </w:p>
  </w:footnote>
  <w:footnote w:type="continuationNotice" w:id="1">
    <w:p w14:paraId="45E623AB" w14:textId="77777777" w:rsidR="00D1210F" w:rsidRDefault="00D12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A984" w14:textId="05019D8D" w:rsidR="00674F8F" w:rsidRPr="008104AD" w:rsidRDefault="008104AD" w:rsidP="00674F8F">
    <w:pPr>
      <w:pStyle w:val="Header"/>
      <w:jc w:val="center"/>
      <w:rPr>
        <w:rFonts w:ascii="Arial" w:hAnsi="Arial" w:cs="Arial"/>
        <w:b/>
        <w:bCs/>
        <w:color w:val="000000"/>
        <w:sz w:val="44"/>
        <w:szCs w:val="48"/>
      </w:rPr>
    </w:pPr>
    <w:r w:rsidRPr="008104AD">
      <w:rPr>
        <w:noProof/>
        <w:sz w:val="22"/>
      </w:rPr>
      <w:drawing>
        <wp:anchor distT="0" distB="0" distL="114300" distR="114300" simplePos="0" relativeHeight="251659264" behindDoc="0" locked="0" layoutInCell="1" allowOverlap="1" wp14:anchorId="00A9E48D" wp14:editId="1B985D58">
          <wp:simplePos x="0" y="0"/>
          <wp:positionH relativeFrom="column">
            <wp:posOffset>5353051</wp:posOffset>
          </wp:positionH>
          <wp:positionV relativeFrom="paragraph">
            <wp:posOffset>-9525</wp:posOffset>
          </wp:positionV>
          <wp:extent cx="647700" cy="72367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O Logo Main v2.png"/>
                  <pic:cNvPicPr/>
                </pic:nvPicPr>
                <pic:blipFill>
                  <a:blip r:embed="rId1">
                    <a:extLst>
                      <a:ext uri="{28A0092B-C50C-407E-A947-70E740481C1C}">
                        <a14:useLocalDpi xmlns:a14="http://schemas.microsoft.com/office/drawing/2010/main" val="0"/>
                      </a:ext>
                    </a:extLst>
                  </a:blip>
                  <a:stretch>
                    <a:fillRect/>
                  </a:stretch>
                </pic:blipFill>
                <pic:spPr>
                  <a:xfrm>
                    <a:off x="0" y="0"/>
                    <a:ext cx="655203" cy="732058"/>
                  </a:xfrm>
                  <a:prstGeom prst="rect">
                    <a:avLst/>
                  </a:prstGeom>
                </pic:spPr>
              </pic:pic>
            </a:graphicData>
          </a:graphic>
          <wp14:sizeRelH relativeFrom="page">
            <wp14:pctWidth>0</wp14:pctWidth>
          </wp14:sizeRelH>
          <wp14:sizeRelV relativeFrom="page">
            <wp14:pctHeight>0</wp14:pctHeight>
          </wp14:sizeRelV>
        </wp:anchor>
      </w:drawing>
    </w:r>
    <w:r w:rsidRPr="008104AD">
      <w:rPr>
        <w:noProof/>
        <w:sz w:val="22"/>
      </w:rPr>
      <w:drawing>
        <wp:anchor distT="0" distB="0" distL="114300" distR="114300" simplePos="0" relativeHeight="251658240" behindDoc="0" locked="0" layoutInCell="1" allowOverlap="1" wp14:anchorId="71385ECA" wp14:editId="7D5442A9">
          <wp:simplePos x="0" y="0"/>
          <wp:positionH relativeFrom="column">
            <wp:posOffset>19050</wp:posOffset>
          </wp:positionH>
          <wp:positionV relativeFrom="paragraph">
            <wp:posOffset>-47625</wp:posOffset>
          </wp:positionV>
          <wp:extent cx="676275" cy="755837"/>
          <wp:effectExtent l="0" t="0" r="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O Logo Main v2.png"/>
                  <pic:cNvPicPr/>
                </pic:nvPicPr>
                <pic:blipFill>
                  <a:blip r:embed="rId1">
                    <a:extLst>
                      <a:ext uri="{28A0092B-C50C-407E-A947-70E740481C1C}">
                        <a14:useLocalDpi xmlns:a14="http://schemas.microsoft.com/office/drawing/2010/main" val="0"/>
                      </a:ext>
                    </a:extLst>
                  </a:blip>
                  <a:stretch>
                    <a:fillRect/>
                  </a:stretch>
                </pic:blipFill>
                <pic:spPr>
                  <a:xfrm>
                    <a:off x="0" y="0"/>
                    <a:ext cx="678853" cy="758719"/>
                  </a:xfrm>
                  <a:prstGeom prst="rect">
                    <a:avLst/>
                  </a:prstGeom>
                </pic:spPr>
              </pic:pic>
            </a:graphicData>
          </a:graphic>
          <wp14:sizeRelH relativeFrom="page">
            <wp14:pctWidth>0</wp14:pctWidth>
          </wp14:sizeRelH>
          <wp14:sizeRelV relativeFrom="page">
            <wp14:pctHeight>0</wp14:pctHeight>
          </wp14:sizeRelV>
        </wp:anchor>
      </w:drawing>
    </w:r>
    <w:r w:rsidR="00674F8F" w:rsidRPr="008104AD">
      <w:rPr>
        <w:rFonts w:ascii="Arial" w:hAnsi="Arial" w:cs="Arial"/>
        <w:b/>
        <w:bCs/>
        <w:color w:val="000000"/>
        <w:sz w:val="44"/>
        <w:szCs w:val="48"/>
      </w:rPr>
      <w:t>Quarterly Budget Report</w:t>
    </w:r>
  </w:p>
  <w:p w14:paraId="3223F316" w14:textId="77777777" w:rsidR="00674F8F" w:rsidRPr="008104AD" w:rsidRDefault="00674F8F" w:rsidP="00674F8F">
    <w:pPr>
      <w:autoSpaceDE w:val="0"/>
      <w:autoSpaceDN w:val="0"/>
      <w:adjustRightInd w:val="0"/>
      <w:jc w:val="center"/>
      <w:rPr>
        <w:b/>
        <w:bCs/>
        <w:color w:val="000000" w:themeColor="text1"/>
        <w:sz w:val="20"/>
        <w:szCs w:val="22"/>
      </w:rPr>
    </w:pPr>
    <w:r w:rsidRPr="008104AD">
      <w:rPr>
        <w:b/>
        <w:bCs/>
        <w:i/>
        <w:iCs/>
        <w:color w:val="000000"/>
        <w:sz w:val="32"/>
        <w:szCs w:val="36"/>
      </w:rPr>
      <w:t>First</w:t>
    </w:r>
    <w:r w:rsidRPr="008104AD">
      <w:rPr>
        <w:rFonts w:ascii="Arial" w:hAnsi="Arial" w:cs="Arial"/>
        <w:b/>
        <w:bCs/>
        <w:color w:val="000000"/>
        <w:sz w:val="44"/>
        <w:szCs w:val="48"/>
      </w:rPr>
      <w:t xml:space="preserve"> </w:t>
    </w:r>
    <w:r w:rsidRPr="008104AD">
      <w:rPr>
        <w:b/>
        <w:bCs/>
        <w:i/>
        <w:iCs/>
        <w:color w:val="000000"/>
        <w:sz w:val="32"/>
        <w:szCs w:val="36"/>
      </w:rPr>
      <w:t>Quarter of Fiscal Year 2018-19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6A6"/>
    <w:multiLevelType w:val="hybridMultilevel"/>
    <w:tmpl w:val="78142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7E78D1"/>
    <w:multiLevelType w:val="hybridMultilevel"/>
    <w:tmpl w:val="879E39D0"/>
    <w:lvl w:ilvl="0" w:tplc="F8DA82EE">
      <w:start w:val="1"/>
      <w:numFmt w:val="bullet"/>
      <w:lvlText w:val=""/>
      <w:lvlJc w:val="left"/>
      <w:pPr>
        <w:tabs>
          <w:tab w:val="num" w:pos="7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A7D"/>
    <w:multiLevelType w:val="hybridMultilevel"/>
    <w:tmpl w:val="52F2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47F9"/>
    <w:multiLevelType w:val="hybridMultilevel"/>
    <w:tmpl w:val="B344DACA"/>
    <w:lvl w:ilvl="0" w:tplc="0102F550">
      <w:start w:val="1"/>
      <w:numFmt w:val="bullet"/>
      <w:lvlText w:val=""/>
      <w:lvlJc w:val="left"/>
      <w:pPr>
        <w:tabs>
          <w:tab w:val="num" w:pos="72"/>
        </w:tabs>
        <w:ind w:left="21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C45F3"/>
    <w:multiLevelType w:val="hybridMultilevel"/>
    <w:tmpl w:val="315CE544"/>
    <w:lvl w:ilvl="0" w:tplc="54129F06">
      <w:start w:val="5"/>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CD49E6"/>
    <w:multiLevelType w:val="hybridMultilevel"/>
    <w:tmpl w:val="DE8E6F74"/>
    <w:lvl w:ilvl="0" w:tplc="65A28F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421745"/>
    <w:multiLevelType w:val="hybridMultilevel"/>
    <w:tmpl w:val="D1B49A62"/>
    <w:lvl w:ilvl="0" w:tplc="F74CAD9E">
      <w:start w:val="1"/>
      <w:numFmt w:val="bullet"/>
      <w:lvlText w:val=""/>
      <w:lvlJc w:val="left"/>
      <w:pPr>
        <w:tabs>
          <w:tab w:val="num" w:pos="72"/>
        </w:tabs>
        <w:ind w:left="216"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848F0"/>
    <w:multiLevelType w:val="multilevel"/>
    <w:tmpl w:val="D714BD52"/>
    <w:lvl w:ilvl="0">
      <w:start w:val="1"/>
      <w:numFmt w:val="bullet"/>
      <w:lvlText w:val=""/>
      <w:lvlJc w:val="left"/>
      <w:pPr>
        <w:tabs>
          <w:tab w:val="num" w:pos="72"/>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A7BD5"/>
    <w:multiLevelType w:val="hybridMultilevel"/>
    <w:tmpl w:val="E73A5492"/>
    <w:lvl w:ilvl="0" w:tplc="2DE88E68">
      <w:start w:val="1"/>
      <w:numFmt w:val="bullet"/>
      <w:lvlText w:val=""/>
      <w:lvlJc w:val="left"/>
      <w:pPr>
        <w:tabs>
          <w:tab w:val="num" w:pos="72"/>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954C6"/>
    <w:multiLevelType w:val="hybridMultilevel"/>
    <w:tmpl w:val="D3141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2675B0"/>
    <w:multiLevelType w:val="multilevel"/>
    <w:tmpl w:val="53FC78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12BB2"/>
    <w:multiLevelType w:val="multilevel"/>
    <w:tmpl w:val="1D2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2F0C29"/>
    <w:multiLevelType w:val="multilevel"/>
    <w:tmpl w:val="F04AFF5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F6EAB"/>
    <w:multiLevelType w:val="hybridMultilevel"/>
    <w:tmpl w:val="F04AFF56"/>
    <w:lvl w:ilvl="0" w:tplc="F0742F2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4537B"/>
    <w:multiLevelType w:val="hybridMultilevel"/>
    <w:tmpl w:val="DE284FF8"/>
    <w:lvl w:ilvl="0" w:tplc="F8DA82EE">
      <w:start w:val="1"/>
      <w:numFmt w:val="bullet"/>
      <w:lvlText w:val=""/>
      <w:lvlJc w:val="left"/>
      <w:pPr>
        <w:tabs>
          <w:tab w:val="num" w:pos="7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54BA7"/>
    <w:multiLevelType w:val="multilevel"/>
    <w:tmpl w:val="CA6ADA4C"/>
    <w:lvl w:ilvl="0">
      <w:start w:val="1"/>
      <w:numFmt w:val="bullet"/>
      <w:lvlText w:val=""/>
      <w:lvlJc w:val="left"/>
      <w:pPr>
        <w:tabs>
          <w:tab w:val="num" w:pos="72"/>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A7BA1"/>
    <w:multiLevelType w:val="hybridMultilevel"/>
    <w:tmpl w:val="F226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C7C1E"/>
    <w:multiLevelType w:val="hybridMultilevel"/>
    <w:tmpl w:val="AE604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D15BD"/>
    <w:multiLevelType w:val="hybridMultilevel"/>
    <w:tmpl w:val="53FC7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52229"/>
    <w:multiLevelType w:val="hybridMultilevel"/>
    <w:tmpl w:val="721C2138"/>
    <w:lvl w:ilvl="0" w:tplc="F88C969E">
      <w:start w:val="1"/>
      <w:numFmt w:val="bullet"/>
      <w:lvlText w:val=""/>
      <w:lvlJc w:val="left"/>
      <w:pPr>
        <w:tabs>
          <w:tab w:val="num" w:pos="7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12137"/>
    <w:multiLevelType w:val="hybridMultilevel"/>
    <w:tmpl w:val="CA6ADA4C"/>
    <w:lvl w:ilvl="0" w:tplc="F8DA82EE">
      <w:start w:val="1"/>
      <w:numFmt w:val="bullet"/>
      <w:lvlText w:val=""/>
      <w:lvlJc w:val="left"/>
      <w:pPr>
        <w:tabs>
          <w:tab w:val="num" w:pos="7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C826B5"/>
    <w:multiLevelType w:val="multilevel"/>
    <w:tmpl w:val="D1B49A62"/>
    <w:lvl w:ilvl="0">
      <w:start w:val="1"/>
      <w:numFmt w:val="bullet"/>
      <w:lvlText w:val=""/>
      <w:lvlJc w:val="left"/>
      <w:pPr>
        <w:tabs>
          <w:tab w:val="num" w:pos="72"/>
        </w:tabs>
        <w:ind w:left="216"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92614"/>
    <w:multiLevelType w:val="multilevel"/>
    <w:tmpl w:val="EF4C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B41648"/>
    <w:multiLevelType w:val="hybridMultilevel"/>
    <w:tmpl w:val="D714BD52"/>
    <w:lvl w:ilvl="0" w:tplc="F88C969E">
      <w:start w:val="1"/>
      <w:numFmt w:val="bullet"/>
      <w:lvlText w:val=""/>
      <w:lvlJc w:val="left"/>
      <w:pPr>
        <w:tabs>
          <w:tab w:val="num" w:pos="7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F2756"/>
    <w:multiLevelType w:val="hybridMultilevel"/>
    <w:tmpl w:val="928EF7D4"/>
    <w:lvl w:ilvl="0" w:tplc="CAD4A53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913CF1"/>
    <w:multiLevelType w:val="hybridMultilevel"/>
    <w:tmpl w:val="5B7C1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F2947"/>
    <w:multiLevelType w:val="multilevel"/>
    <w:tmpl w:val="928EF7D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10BF1"/>
    <w:multiLevelType w:val="multilevel"/>
    <w:tmpl w:val="AE6040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CE4896"/>
    <w:multiLevelType w:val="hybridMultilevel"/>
    <w:tmpl w:val="CD18994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91902"/>
    <w:multiLevelType w:val="multilevel"/>
    <w:tmpl w:val="F8C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7F1872"/>
    <w:multiLevelType w:val="multilevel"/>
    <w:tmpl w:val="26FC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8D7FB8"/>
    <w:multiLevelType w:val="hybridMultilevel"/>
    <w:tmpl w:val="00924162"/>
    <w:lvl w:ilvl="0" w:tplc="CAD4A53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F71BBC"/>
    <w:multiLevelType w:val="multilevel"/>
    <w:tmpl w:val="B344DACA"/>
    <w:lvl w:ilvl="0">
      <w:start w:val="1"/>
      <w:numFmt w:val="bullet"/>
      <w:lvlText w:val=""/>
      <w:lvlJc w:val="left"/>
      <w:pPr>
        <w:tabs>
          <w:tab w:val="num" w:pos="72"/>
        </w:tabs>
        <w:ind w:left="216" w:hanging="14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FD73EA"/>
    <w:multiLevelType w:val="multilevel"/>
    <w:tmpl w:val="F182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7"/>
  </w:num>
  <w:num w:numId="3">
    <w:abstractNumId w:val="19"/>
  </w:num>
  <w:num w:numId="4">
    <w:abstractNumId w:val="23"/>
  </w:num>
  <w:num w:numId="5">
    <w:abstractNumId w:val="7"/>
  </w:num>
  <w:num w:numId="6">
    <w:abstractNumId w:val="31"/>
  </w:num>
  <w:num w:numId="7">
    <w:abstractNumId w:val="24"/>
  </w:num>
  <w:num w:numId="8">
    <w:abstractNumId w:val="26"/>
  </w:num>
  <w:num w:numId="9">
    <w:abstractNumId w:val="13"/>
  </w:num>
  <w:num w:numId="10">
    <w:abstractNumId w:val="12"/>
  </w:num>
  <w:num w:numId="11">
    <w:abstractNumId w:val="14"/>
  </w:num>
  <w:num w:numId="12">
    <w:abstractNumId w:val="1"/>
  </w:num>
  <w:num w:numId="13">
    <w:abstractNumId w:val="20"/>
  </w:num>
  <w:num w:numId="14">
    <w:abstractNumId w:val="4"/>
  </w:num>
  <w:num w:numId="15">
    <w:abstractNumId w:val="5"/>
  </w:num>
  <w:num w:numId="16">
    <w:abstractNumId w:val="15"/>
  </w:num>
  <w:num w:numId="17">
    <w:abstractNumId w:val="3"/>
  </w:num>
  <w:num w:numId="18">
    <w:abstractNumId w:val="32"/>
  </w:num>
  <w:num w:numId="19">
    <w:abstractNumId w:val="6"/>
  </w:num>
  <w:num w:numId="20">
    <w:abstractNumId w:val="21"/>
  </w:num>
  <w:num w:numId="21">
    <w:abstractNumId w:val="8"/>
  </w:num>
  <w:num w:numId="22">
    <w:abstractNumId w:val="25"/>
  </w:num>
  <w:num w:numId="23">
    <w:abstractNumId w:val="18"/>
  </w:num>
  <w:num w:numId="24">
    <w:abstractNumId w:val="10"/>
  </w:num>
  <w:num w:numId="25">
    <w:abstractNumId w:val="9"/>
  </w:num>
  <w:num w:numId="26">
    <w:abstractNumId w:val="0"/>
  </w:num>
  <w:num w:numId="27">
    <w:abstractNumId w:val="33"/>
  </w:num>
  <w:num w:numId="28">
    <w:abstractNumId w:val="28"/>
  </w:num>
  <w:num w:numId="29">
    <w:abstractNumId w:val="11"/>
  </w:num>
  <w:num w:numId="30">
    <w:abstractNumId w:val="16"/>
  </w:num>
  <w:num w:numId="31">
    <w:abstractNumId w:val="22"/>
  </w:num>
  <w:num w:numId="32">
    <w:abstractNumId w:val="30"/>
  </w:num>
  <w:num w:numId="33">
    <w:abstractNumId w:val="2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7A"/>
    <w:rsid w:val="0000089D"/>
    <w:rsid w:val="000024F4"/>
    <w:rsid w:val="00002621"/>
    <w:rsid w:val="00005387"/>
    <w:rsid w:val="00011EBC"/>
    <w:rsid w:val="000123F3"/>
    <w:rsid w:val="000128B4"/>
    <w:rsid w:val="00012F50"/>
    <w:rsid w:val="0001540B"/>
    <w:rsid w:val="00015DF0"/>
    <w:rsid w:val="000160A9"/>
    <w:rsid w:val="000177FC"/>
    <w:rsid w:val="00020E8D"/>
    <w:rsid w:val="00024B9C"/>
    <w:rsid w:val="000259ED"/>
    <w:rsid w:val="000362F4"/>
    <w:rsid w:val="00036456"/>
    <w:rsid w:val="00040850"/>
    <w:rsid w:val="00041BFC"/>
    <w:rsid w:val="000466D7"/>
    <w:rsid w:val="00046ED1"/>
    <w:rsid w:val="00051720"/>
    <w:rsid w:val="00055555"/>
    <w:rsid w:val="000559BA"/>
    <w:rsid w:val="0006119A"/>
    <w:rsid w:val="00061F8C"/>
    <w:rsid w:val="00065030"/>
    <w:rsid w:val="00065477"/>
    <w:rsid w:val="00065597"/>
    <w:rsid w:val="000713CF"/>
    <w:rsid w:val="00071BC2"/>
    <w:rsid w:val="000735A7"/>
    <w:rsid w:val="00074240"/>
    <w:rsid w:val="000754D3"/>
    <w:rsid w:val="00082342"/>
    <w:rsid w:val="000838CD"/>
    <w:rsid w:val="000844CA"/>
    <w:rsid w:val="00084F55"/>
    <w:rsid w:val="000918BB"/>
    <w:rsid w:val="00097EFB"/>
    <w:rsid w:val="000A0257"/>
    <w:rsid w:val="000A0612"/>
    <w:rsid w:val="000A159A"/>
    <w:rsid w:val="000A2729"/>
    <w:rsid w:val="000A2E72"/>
    <w:rsid w:val="000A3260"/>
    <w:rsid w:val="000A5567"/>
    <w:rsid w:val="000A70BB"/>
    <w:rsid w:val="000B5FBC"/>
    <w:rsid w:val="000B64EA"/>
    <w:rsid w:val="000B7FBC"/>
    <w:rsid w:val="000C3AE1"/>
    <w:rsid w:val="000C7B06"/>
    <w:rsid w:val="000D614D"/>
    <w:rsid w:val="000D6427"/>
    <w:rsid w:val="000E3D26"/>
    <w:rsid w:val="000E4621"/>
    <w:rsid w:val="000E4CF9"/>
    <w:rsid w:val="000E7185"/>
    <w:rsid w:val="000E71FA"/>
    <w:rsid w:val="000F0633"/>
    <w:rsid w:val="000F0889"/>
    <w:rsid w:val="000F15A0"/>
    <w:rsid w:val="0010027E"/>
    <w:rsid w:val="0010124D"/>
    <w:rsid w:val="00101D70"/>
    <w:rsid w:val="00104A3B"/>
    <w:rsid w:val="00111C88"/>
    <w:rsid w:val="00112099"/>
    <w:rsid w:val="00114CA8"/>
    <w:rsid w:val="0011630E"/>
    <w:rsid w:val="00117222"/>
    <w:rsid w:val="0011746B"/>
    <w:rsid w:val="0012471F"/>
    <w:rsid w:val="00126AF7"/>
    <w:rsid w:val="00130740"/>
    <w:rsid w:val="00130B33"/>
    <w:rsid w:val="0013232E"/>
    <w:rsid w:val="00132F64"/>
    <w:rsid w:val="00133AE8"/>
    <w:rsid w:val="00136BD0"/>
    <w:rsid w:val="001402D0"/>
    <w:rsid w:val="0015415E"/>
    <w:rsid w:val="00154DCD"/>
    <w:rsid w:val="001568BF"/>
    <w:rsid w:val="00156D1C"/>
    <w:rsid w:val="00156F43"/>
    <w:rsid w:val="00161611"/>
    <w:rsid w:val="00161A87"/>
    <w:rsid w:val="00162940"/>
    <w:rsid w:val="00165D48"/>
    <w:rsid w:val="001722BB"/>
    <w:rsid w:val="00174E7E"/>
    <w:rsid w:val="00175404"/>
    <w:rsid w:val="001755DF"/>
    <w:rsid w:val="0017573B"/>
    <w:rsid w:val="00180429"/>
    <w:rsid w:val="00180D28"/>
    <w:rsid w:val="001817B8"/>
    <w:rsid w:val="00183448"/>
    <w:rsid w:val="001835F6"/>
    <w:rsid w:val="00184D78"/>
    <w:rsid w:val="001912EB"/>
    <w:rsid w:val="00192B1D"/>
    <w:rsid w:val="00193073"/>
    <w:rsid w:val="00193C42"/>
    <w:rsid w:val="00195817"/>
    <w:rsid w:val="001A127E"/>
    <w:rsid w:val="001A38B3"/>
    <w:rsid w:val="001A4204"/>
    <w:rsid w:val="001A576F"/>
    <w:rsid w:val="001A5A95"/>
    <w:rsid w:val="001A6BD3"/>
    <w:rsid w:val="001B0BA9"/>
    <w:rsid w:val="001B1204"/>
    <w:rsid w:val="001B2374"/>
    <w:rsid w:val="001B3433"/>
    <w:rsid w:val="001B77D5"/>
    <w:rsid w:val="001C634D"/>
    <w:rsid w:val="001D0713"/>
    <w:rsid w:val="001D0D11"/>
    <w:rsid w:val="001D1C2A"/>
    <w:rsid w:val="001E2048"/>
    <w:rsid w:val="001E2E19"/>
    <w:rsid w:val="001E6805"/>
    <w:rsid w:val="001E6D61"/>
    <w:rsid w:val="00200F2A"/>
    <w:rsid w:val="002041CC"/>
    <w:rsid w:val="00204C39"/>
    <w:rsid w:val="00205B95"/>
    <w:rsid w:val="00205F2B"/>
    <w:rsid w:val="00212531"/>
    <w:rsid w:val="0021266B"/>
    <w:rsid w:val="00216757"/>
    <w:rsid w:val="00216E7A"/>
    <w:rsid w:val="0022045E"/>
    <w:rsid w:val="00227BCE"/>
    <w:rsid w:val="00254E78"/>
    <w:rsid w:val="0025540F"/>
    <w:rsid w:val="00256501"/>
    <w:rsid w:val="00257F14"/>
    <w:rsid w:val="002706FB"/>
    <w:rsid w:val="00272A88"/>
    <w:rsid w:val="00272A90"/>
    <w:rsid w:val="0027585D"/>
    <w:rsid w:val="00283DA7"/>
    <w:rsid w:val="00285E32"/>
    <w:rsid w:val="00286312"/>
    <w:rsid w:val="00297906"/>
    <w:rsid w:val="00297C23"/>
    <w:rsid w:val="002A00A1"/>
    <w:rsid w:val="002A1799"/>
    <w:rsid w:val="002A31D5"/>
    <w:rsid w:val="002A4B6D"/>
    <w:rsid w:val="002A517F"/>
    <w:rsid w:val="002B0DEE"/>
    <w:rsid w:val="002B0EC5"/>
    <w:rsid w:val="002B0F3F"/>
    <w:rsid w:val="002B1C9D"/>
    <w:rsid w:val="002B321A"/>
    <w:rsid w:val="002C30B7"/>
    <w:rsid w:val="002C3D34"/>
    <w:rsid w:val="002D547D"/>
    <w:rsid w:val="002D7E82"/>
    <w:rsid w:val="002D7E9D"/>
    <w:rsid w:val="002F03FB"/>
    <w:rsid w:val="002F509A"/>
    <w:rsid w:val="002F55F6"/>
    <w:rsid w:val="002F6784"/>
    <w:rsid w:val="0030108C"/>
    <w:rsid w:val="00306523"/>
    <w:rsid w:val="003113F8"/>
    <w:rsid w:val="00314F5C"/>
    <w:rsid w:val="0031583D"/>
    <w:rsid w:val="00315F03"/>
    <w:rsid w:val="00317AFB"/>
    <w:rsid w:val="00317B96"/>
    <w:rsid w:val="00317CE0"/>
    <w:rsid w:val="00321595"/>
    <w:rsid w:val="0032350C"/>
    <w:rsid w:val="00333637"/>
    <w:rsid w:val="00334DAC"/>
    <w:rsid w:val="00335F14"/>
    <w:rsid w:val="003363BA"/>
    <w:rsid w:val="00336686"/>
    <w:rsid w:val="00342EEA"/>
    <w:rsid w:val="00344A3A"/>
    <w:rsid w:val="00345D05"/>
    <w:rsid w:val="0035487E"/>
    <w:rsid w:val="00356967"/>
    <w:rsid w:val="00356FDA"/>
    <w:rsid w:val="0035729F"/>
    <w:rsid w:val="003606E4"/>
    <w:rsid w:val="0036341D"/>
    <w:rsid w:val="00367296"/>
    <w:rsid w:val="003703F2"/>
    <w:rsid w:val="00370F55"/>
    <w:rsid w:val="0037476C"/>
    <w:rsid w:val="0037764C"/>
    <w:rsid w:val="0038020E"/>
    <w:rsid w:val="0038071A"/>
    <w:rsid w:val="00394EC8"/>
    <w:rsid w:val="00397F7F"/>
    <w:rsid w:val="003A4454"/>
    <w:rsid w:val="003A7039"/>
    <w:rsid w:val="003B0907"/>
    <w:rsid w:val="003B1320"/>
    <w:rsid w:val="003B2D21"/>
    <w:rsid w:val="003B327E"/>
    <w:rsid w:val="003C3188"/>
    <w:rsid w:val="003C3FAF"/>
    <w:rsid w:val="003C47D4"/>
    <w:rsid w:val="003C75FD"/>
    <w:rsid w:val="003E6B4B"/>
    <w:rsid w:val="003F0778"/>
    <w:rsid w:val="003F4A74"/>
    <w:rsid w:val="003F67F9"/>
    <w:rsid w:val="004017C0"/>
    <w:rsid w:val="004025D5"/>
    <w:rsid w:val="0040388C"/>
    <w:rsid w:val="004154E7"/>
    <w:rsid w:val="00417EEB"/>
    <w:rsid w:val="0042617F"/>
    <w:rsid w:val="00431233"/>
    <w:rsid w:val="00431A52"/>
    <w:rsid w:val="0043286C"/>
    <w:rsid w:val="004329CA"/>
    <w:rsid w:val="00435875"/>
    <w:rsid w:val="00443D1A"/>
    <w:rsid w:val="00444456"/>
    <w:rsid w:val="00451CE8"/>
    <w:rsid w:val="004569A7"/>
    <w:rsid w:val="00456D3E"/>
    <w:rsid w:val="00457BC9"/>
    <w:rsid w:val="00460AC2"/>
    <w:rsid w:val="00462F0F"/>
    <w:rsid w:val="004632DC"/>
    <w:rsid w:val="00466FFE"/>
    <w:rsid w:val="00474105"/>
    <w:rsid w:val="00477C7E"/>
    <w:rsid w:val="00481B72"/>
    <w:rsid w:val="00482E4D"/>
    <w:rsid w:val="00496D7B"/>
    <w:rsid w:val="004A0EF6"/>
    <w:rsid w:val="004A6402"/>
    <w:rsid w:val="004B477A"/>
    <w:rsid w:val="004B5F52"/>
    <w:rsid w:val="004B6DAE"/>
    <w:rsid w:val="004C0F7F"/>
    <w:rsid w:val="004C2D1A"/>
    <w:rsid w:val="004C322D"/>
    <w:rsid w:val="004C377E"/>
    <w:rsid w:val="004C5E66"/>
    <w:rsid w:val="004C7023"/>
    <w:rsid w:val="004D11FD"/>
    <w:rsid w:val="004D1DDE"/>
    <w:rsid w:val="004D2F19"/>
    <w:rsid w:val="004D5833"/>
    <w:rsid w:val="004D71F4"/>
    <w:rsid w:val="004E1CDA"/>
    <w:rsid w:val="004E7921"/>
    <w:rsid w:val="004F00D1"/>
    <w:rsid w:val="004F25BE"/>
    <w:rsid w:val="00500D81"/>
    <w:rsid w:val="00501301"/>
    <w:rsid w:val="00505140"/>
    <w:rsid w:val="00513FAF"/>
    <w:rsid w:val="00514F2A"/>
    <w:rsid w:val="005163B3"/>
    <w:rsid w:val="00523436"/>
    <w:rsid w:val="005235A1"/>
    <w:rsid w:val="00523C76"/>
    <w:rsid w:val="00523F9D"/>
    <w:rsid w:val="005249A3"/>
    <w:rsid w:val="0052721A"/>
    <w:rsid w:val="00530968"/>
    <w:rsid w:val="005322BC"/>
    <w:rsid w:val="005365AD"/>
    <w:rsid w:val="0054385B"/>
    <w:rsid w:val="00556E27"/>
    <w:rsid w:val="00557855"/>
    <w:rsid w:val="00564201"/>
    <w:rsid w:val="005658AC"/>
    <w:rsid w:val="005678E1"/>
    <w:rsid w:val="00567BA5"/>
    <w:rsid w:val="005705D0"/>
    <w:rsid w:val="00570E6B"/>
    <w:rsid w:val="005718AD"/>
    <w:rsid w:val="00577A1C"/>
    <w:rsid w:val="005803A7"/>
    <w:rsid w:val="005828F6"/>
    <w:rsid w:val="00582CA5"/>
    <w:rsid w:val="00583484"/>
    <w:rsid w:val="00587EAB"/>
    <w:rsid w:val="005903E6"/>
    <w:rsid w:val="005975E0"/>
    <w:rsid w:val="005A5E52"/>
    <w:rsid w:val="005B2062"/>
    <w:rsid w:val="005B29A9"/>
    <w:rsid w:val="005B4287"/>
    <w:rsid w:val="005B7B96"/>
    <w:rsid w:val="005C5D1F"/>
    <w:rsid w:val="005C710E"/>
    <w:rsid w:val="005D119D"/>
    <w:rsid w:val="005D3BEF"/>
    <w:rsid w:val="005D4398"/>
    <w:rsid w:val="005E26D5"/>
    <w:rsid w:val="005F272D"/>
    <w:rsid w:val="005F2CE8"/>
    <w:rsid w:val="005F43C8"/>
    <w:rsid w:val="00603DE2"/>
    <w:rsid w:val="00605553"/>
    <w:rsid w:val="00605CCE"/>
    <w:rsid w:val="00610970"/>
    <w:rsid w:val="00614F0C"/>
    <w:rsid w:val="00616050"/>
    <w:rsid w:val="006201FA"/>
    <w:rsid w:val="0062493C"/>
    <w:rsid w:val="00627D41"/>
    <w:rsid w:val="00633070"/>
    <w:rsid w:val="0063571D"/>
    <w:rsid w:val="00636DDE"/>
    <w:rsid w:val="00640A55"/>
    <w:rsid w:val="00642245"/>
    <w:rsid w:val="006447EB"/>
    <w:rsid w:val="00645650"/>
    <w:rsid w:val="006502DB"/>
    <w:rsid w:val="00651C06"/>
    <w:rsid w:val="006565A4"/>
    <w:rsid w:val="006578EA"/>
    <w:rsid w:val="00663F42"/>
    <w:rsid w:val="00670396"/>
    <w:rsid w:val="006732F2"/>
    <w:rsid w:val="00674F8F"/>
    <w:rsid w:val="006755E6"/>
    <w:rsid w:val="00677B98"/>
    <w:rsid w:val="00677F68"/>
    <w:rsid w:val="0068225D"/>
    <w:rsid w:val="006827AB"/>
    <w:rsid w:val="00682D73"/>
    <w:rsid w:val="00683E0F"/>
    <w:rsid w:val="00684182"/>
    <w:rsid w:val="006858FC"/>
    <w:rsid w:val="006903C9"/>
    <w:rsid w:val="0069232E"/>
    <w:rsid w:val="006948FD"/>
    <w:rsid w:val="00694F8A"/>
    <w:rsid w:val="006967F5"/>
    <w:rsid w:val="006A2608"/>
    <w:rsid w:val="006A4598"/>
    <w:rsid w:val="006B3A7A"/>
    <w:rsid w:val="006B4BB8"/>
    <w:rsid w:val="006C0A12"/>
    <w:rsid w:val="006C1DAD"/>
    <w:rsid w:val="006C5E42"/>
    <w:rsid w:val="006C7CCE"/>
    <w:rsid w:val="006D1460"/>
    <w:rsid w:val="006D70B8"/>
    <w:rsid w:val="006E0CB9"/>
    <w:rsid w:val="006E7359"/>
    <w:rsid w:val="006F2ED6"/>
    <w:rsid w:val="006F5F54"/>
    <w:rsid w:val="006F5FDB"/>
    <w:rsid w:val="00700866"/>
    <w:rsid w:val="00704428"/>
    <w:rsid w:val="0070611B"/>
    <w:rsid w:val="00707483"/>
    <w:rsid w:val="00715C80"/>
    <w:rsid w:val="00715E7F"/>
    <w:rsid w:val="00735B23"/>
    <w:rsid w:val="00744D0A"/>
    <w:rsid w:val="00747224"/>
    <w:rsid w:val="007472D6"/>
    <w:rsid w:val="007472FD"/>
    <w:rsid w:val="00751F48"/>
    <w:rsid w:val="007541E6"/>
    <w:rsid w:val="007543F2"/>
    <w:rsid w:val="00764172"/>
    <w:rsid w:val="00764587"/>
    <w:rsid w:val="00765CA3"/>
    <w:rsid w:val="00774C76"/>
    <w:rsid w:val="0078062C"/>
    <w:rsid w:val="00780FB3"/>
    <w:rsid w:val="0078383E"/>
    <w:rsid w:val="00786840"/>
    <w:rsid w:val="00791AAB"/>
    <w:rsid w:val="007A0F5F"/>
    <w:rsid w:val="007A637E"/>
    <w:rsid w:val="007A7D34"/>
    <w:rsid w:val="007B5297"/>
    <w:rsid w:val="007C071A"/>
    <w:rsid w:val="007C1941"/>
    <w:rsid w:val="007C1F6E"/>
    <w:rsid w:val="007C5047"/>
    <w:rsid w:val="007D1AD3"/>
    <w:rsid w:val="007D224C"/>
    <w:rsid w:val="007D274D"/>
    <w:rsid w:val="007D51FD"/>
    <w:rsid w:val="007D5EBC"/>
    <w:rsid w:val="007D74A4"/>
    <w:rsid w:val="007E08AD"/>
    <w:rsid w:val="007E3F58"/>
    <w:rsid w:val="007E4723"/>
    <w:rsid w:val="007F33CB"/>
    <w:rsid w:val="007F3C27"/>
    <w:rsid w:val="0080141D"/>
    <w:rsid w:val="00803751"/>
    <w:rsid w:val="00806CAA"/>
    <w:rsid w:val="008104AD"/>
    <w:rsid w:val="00813283"/>
    <w:rsid w:val="0081339F"/>
    <w:rsid w:val="00822DCC"/>
    <w:rsid w:val="00824DD7"/>
    <w:rsid w:val="00827E30"/>
    <w:rsid w:val="00830C8F"/>
    <w:rsid w:val="008451E2"/>
    <w:rsid w:val="00845D4F"/>
    <w:rsid w:val="00847460"/>
    <w:rsid w:val="0085144B"/>
    <w:rsid w:val="00852FCD"/>
    <w:rsid w:val="00853322"/>
    <w:rsid w:val="00863CF9"/>
    <w:rsid w:val="008706BA"/>
    <w:rsid w:val="00871D9D"/>
    <w:rsid w:val="00872D5F"/>
    <w:rsid w:val="0088036C"/>
    <w:rsid w:val="00880D85"/>
    <w:rsid w:val="008816C4"/>
    <w:rsid w:val="008861A2"/>
    <w:rsid w:val="008865E4"/>
    <w:rsid w:val="00887E3A"/>
    <w:rsid w:val="008906A8"/>
    <w:rsid w:val="008A1C96"/>
    <w:rsid w:val="008A21D2"/>
    <w:rsid w:val="008A5B7C"/>
    <w:rsid w:val="008A774C"/>
    <w:rsid w:val="008A7C23"/>
    <w:rsid w:val="008A7C5A"/>
    <w:rsid w:val="008B1078"/>
    <w:rsid w:val="008C2529"/>
    <w:rsid w:val="008D0D7D"/>
    <w:rsid w:val="008D36E3"/>
    <w:rsid w:val="008D3A15"/>
    <w:rsid w:val="008D525A"/>
    <w:rsid w:val="008E0511"/>
    <w:rsid w:val="008E51F6"/>
    <w:rsid w:val="008E6BED"/>
    <w:rsid w:val="008E759E"/>
    <w:rsid w:val="008F2A74"/>
    <w:rsid w:val="008F310B"/>
    <w:rsid w:val="008F32EB"/>
    <w:rsid w:val="008F50AF"/>
    <w:rsid w:val="008F7264"/>
    <w:rsid w:val="008F7FB3"/>
    <w:rsid w:val="00900EC1"/>
    <w:rsid w:val="00901908"/>
    <w:rsid w:val="00901B68"/>
    <w:rsid w:val="0090310A"/>
    <w:rsid w:val="009067BA"/>
    <w:rsid w:val="009071FD"/>
    <w:rsid w:val="00911DFA"/>
    <w:rsid w:val="00922F73"/>
    <w:rsid w:val="00925386"/>
    <w:rsid w:val="009256FF"/>
    <w:rsid w:val="0093233C"/>
    <w:rsid w:val="009324FF"/>
    <w:rsid w:val="00935FEB"/>
    <w:rsid w:val="00941B44"/>
    <w:rsid w:val="0095133C"/>
    <w:rsid w:val="00955944"/>
    <w:rsid w:val="00963453"/>
    <w:rsid w:val="00972562"/>
    <w:rsid w:val="009733C0"/>
    <w:rsid w:val="009766A2"/>
    <w:rsid w:val="00976BFD"/>
    <w:rsid w:val="00981535"/>
    <w:rsid w:val="00983D63"/>
    <w:rsid w:val="009907AA"/>
    <w:rsid w:val="00993157"/>
    <w:rsid w:val="00993E63"/>
    <w:rsid w:val="009A315A"/>
    <w:rsid w:val="009A3C3D"/>
    <w:rsid w:val="009A60A6"/>
    <w:rsid w:val="009A67F2"/>
    <w:rsid w:val="009B0AA8"/>
    <w:rsid w:val="009B732C"/>
    <w:rsid w:val="009D012E"/>
    <w:rsid w:val="009D1288"/>
    <w:rsid w:val="009E2849"/>
    <w:rsid w:val="009F1AC7"/>
    <w:rsid w:val="009F275B"/>
    <w:rsid w:val="009F5C2A"/>
    <w:rsid w:val="009F6B08"/>
    <w:rsid w:val="00A008EE"/>
    <w:rsid w:val="00A02F57"/>
    <w:rsid w:val="00A058FE"/>
    <w:rsid w:val="00A05B2D"/>
    <w:rsid w:val="00A10423"/>
    <w:rsid w:val="00A1113B"/>
    <w:rsid w:val="00A116F3"/>
    <w:rsid w:val="00A11DBD"/>
    <w:rsid w:val="00A15305"/>
    <w:rsid w:val="00A225B2"/>
    <w:rsid w:val="00A23599"/>
    <w:rsid w:val="00A23F69"/>
    <w:rsid w:val="00A24600"/>
    <w:rsid w:val="00A26465"/>
    <w:rsid w:val="00A2699F"/>
    <w:rsid w:val="00A301FF"/>
    <w:rsid w:val="00A321A3"/>
    <w:rsid w:val="00A32E6F"/>
    <w:rsid w:val="00A4391D"/>
    <w:rsid w:val="00A5382B"/>
    <w:rsid w:val="00A554B6"/>
    <w:rsid w:val="00A57CFF"/>
    <w:rsid w:val="00A64202"/>
    <w:rsid w:val="00A70432"/>
    <w:rsid w:val="00A70E29"/>
    <w:rsid w:val="00A71036"/>
    <w:rsid w:val="00A718F2"/>
    <w:rsid w:val="00A80EE1"/>
    <w:rsid w:val="00A85275"/>
    <w:rsid w:val="00A87C0D"/>
    <w:rsid w:val="00A923ED"/>
    <w:rsid w:val="00A93F65"/>
    <w:rsid w:val="00A94150"/>
    <w:rsid w:val="00A94850"/>
    <w:rsid w:val="00A953E8"/>
    <w:rsid w:val="00A95407"/>
    <w:rsid w:val="00A95A94"/>
    <w:rsid w:val="00AA2CCB"/>
    <w:rsid w:val="00AA3304"/>
    <w:rsid w:val="00AA66EE"/>
    <w:rsid w:val="00AB02A5"/>
    <w:rsid w:val="00AB1FA4"/>
    <w:rsid w:val="00AB3D26"/>
    <w:rsid w:val="00AB6208"/>
    <w:rsid w:val="00AC4A21"/>
    <w:rsid w:val="00AC4C28"/>
    <w:rsid w:val="00AC4E1B"/>
    <w:rsid w:val="00AD2653"/>
    <w:rsid w:val="00AD4A7C"/>
    <w:rsid w:val="00AD6C8E"/>
    <w:rsid w:val="00AD6EB2"/>
    <w:rsid w:val="00AE06B1"/>
    <w:rsid w:val="00AE6BA3"/>
    <w:rsid w:val="00AF7D5F"/>
    <w:rsid w:val="00B01950"/>
    <w:rsid w:val="00B019A8"/>
    <w:rsid w:val="00B0438A"/>
    <w:rsid w:val="00B04B2B"/>
    <w:rsid w:val="00B07E62"/>
    <w:rsid w:val="00B10B85"/>
    <w:rsid w:val="00B12EA9"/>
    <w:rsid w:val="00B13BB3"/>
    <w:rsid w:val="00B13C78"/>
    <w:rsid w:val="00B2207F"/>
    <w:rsid w:val="00B22E30"/>
    <w:rsid w:val="00B23A45"/>
    <w:rsid w:val="00B25678"/>
    <w:rsid w:val="00B271D5"/>
    <w:rsid w:val="00B27980"/>
    <w:rsid w:val="00B30FED"/>
    <w:rsid w:val="00B373CB"/>
    <w:rsid w:val="00B40740"/>
    <w:rsid w:val="00B42DAF"/>
    <w:rsid w:val="00B45EB1"/>
    <w:rsid w:val="00B51CB4"/>
    <w:rsid w:val="00B5269C"/>
    <w:rsid w:val="00B54765"/>
    <w:rsid w:val="00B55C84"/>
    <w:rsid w:val="00B5663B"/>
    <w:rsid w:val="00B56D38"/>
    <w:rsid w:val="00B601A7"/>
    <w:rsid w:val="00B60900"/>
    <w:rsid w:val="00B661B2"/>
    <w:rsid w:val="00B712FF"/>
    <w:rsid w:val="00B72EC2"/>
    <w:rsid w:val="00B7425E"/>
    <w:rsid w:val="00B746FA"/>
    <w:rsid w:val="00B76A0E"/>
    <w:rsid w:val="00B778FB"/>
    <w:rsid w:val="00B92AF4"/>
    <w:rsid w:val="00B9798A"/>
    <w:rsid w:val="00BA3FED"/>
    <w:rsid w:val="00BA6813"/>
    <w:rsid w:val="00BA6EE6"/>
    <w:rsid w:val="00BB1D09"/>
    <w:rsid w:val="00BB3C73"/>
    <w:rsid w:val="00BC084A"/>
    <w:rsid w:val="00BC36C4"/>
    <w:rsid w:val="00BC4AC9"/>
    <w:rsid w:val="00BD726B"/>
    <w:rsid w:val="00BD78D6"/>
    <w:rsid w:val="00BE289D"/>
    <w:rsid w:val="00BE6B35"/>
    <w:rsid w:val="00BE7004"/>
    <w:rsid w:val="00BF2BD6"/>
    <w:rsid w:val="00BF3350"/>
    <w:rsid w:val="00BF5B62"/>
    <w:rsid w:val="00C01138"/>
    <w:rsid w:val="00C057DE"/>
    <w:rsid w:val="00C05EAE"/>
    <w:rsid w:val="00C06D3E"/>
    <w:rsid w:val="00C10E11"/>
    <w:rsid w:val="00C11640"/>
    <w:rsid w:val="00C1620A"/>
    <w:rsid w:val="00C20D9B"/>
    <w:rsid w:val="00C31EB6"/>
    <w:rsid w:val="00C34F98"/>
    <w:rsid w:val="00C36653"/>
    <w:rsid w:val="00C41E7A"/>
    <w:rsid w:val="00C4563C"/>
    <w:rsid w:val="00C458F5"/>
    <w:rsid w:val="00C47462"/>
    <w:rsid w:val="00C512D5"/>
    <w:rsid w:val="00C51502"/>
    <w:rsid w:val="00C54368"/>
    <w:rsid w:val="00C56724"/>
    <w:rsid w:val="00C612E9"/>
    <w:rsid w:val="00C6173D"/>
    <w:rsid w:val="00C64435"/>
    <w:rsid w:val="00C6608C"/>
    <w:rsid w:val="00C66ED0"/>
    <w:rsid w:val="00C67272"/>
    <w:rsid w:val="00C67A77"/>
    <w:rsid w:val="00C7024E"/>
    <w:rsid w:val="00C704A3"/>
    <w:rsid w:val="00C71502"/>
    <w:rsid w:val="00C730D6"/>
    <w:rsid w:val="00C75A03"/>
    <w:rsid w:val="00C8150D"/>
    <w:rsid w:val="00C82134"/>
    <w:rsid w:val="00C852B2"/>
    <w:rsid w:val="00C867D5"/>
    <w:rsid w:val="00C86FD8"/>
    <w:rsid w:val="00C9173D"/>
    <w:rsid w:val="00C95F13"/>
    <w:rsid w:val="00C9604B"/>
    <w:rsid w:val="00C962CD"/>
    <w:rsid w:val="00CA0CC2"/>
    <w:rsid w:val="00CB0C1A"/>
    <w:rsid w:val="00CB274B"/>
    <w:rsid w:val="00CB3FAC"/>
    <w:rsid w:val="00CC04D0"/>
    <w:rsid w:val="00CC0620"/>
    <w:rsid w:val="00CC0663"/>
    <w:rsid w:val="00CC5812"/>
    <w:rsid w:val="00CD18CA"/>
    <w:rsid w:val="00CD1EE9"/>
    <w:rsid w:val="00CE0DF0"/>
    <w:rsid w:val="00CE1874"/>
    <w:rsid w:val="00CE26DD"/>
    <w:rsid w:val="00CE634D"/>
    <w:rsid w:val="00CE749B"/>
    <w:rsid w:val="00CF0FFC"/>
    <w:rsid w:val="00CF1336"/>
    <w:rsid w:val="00CF5A8C"/>
    <w:rsid w:val="00CF66E4"/>
    <w:rsid w:val="00CF66E6"/>
    <w:rsid w:val="00D0205D"/>
    <w:rsid w:val="00D02450"/>
    <w:rsid w:val="00D03D6B"/>
    <w:rsid w:val="00D1210F"/>
    <w:rsid w:val="00D1224D"/>
    <w:rsid w:val="00D24660"/>
    <w:rsid w:val="00D26C4E"/>
    <w:rsid w:val="00D32398"/>
    <w:rsid w:val="00D36CA0"/>
    <w:rsid w:val="00D40669"/>
    <w:rsid w:val="00D409E5"/>
    <w:rsid w:val="00D44074"/>
    <w:rsid w:val="00D448D3"/>
    <w:rsid w:val="00D453B4"/>
    <w:rsid w:val="00D50FE8"/>
    <w:rsid w:val="00D51163"/>
    <w:rsid w:val="00D52781"/>
    <w:rsid w:val="00D56750"/>
    <w:rsid w:val="00D57A7E"/>
    <w:rsid w:val="00D60E06"/>
    <w:rsid w:val="00D6176B"/>
    <w:rsid w:val="00D62672"/>
    <w:rsid w:val="00D66357"/>
    <w:rsid w:val="00D76AD2"/>
    <w:rsid w:val="00D819EC"/>
    <w:rsid w:val="00D82808"/>
    <w:rsid w:val="00D858B9"/>
    <w:rsid w:val="00D87593"/>
    <w:rsid w:val="00D87ED6"/>
    <w:rsid w:val="00D91294"/>
    <w:rsid w:val="00D94B97"/>
    <w:rsid w:val="00D96C9D"/>
    <w:rsid w:val="00D97E4A"/>
    <w:rsid w:val="00DA755B"/>
    <w:rsid w:val="00DB495B"/>
    <w:rsid w:val="00DB60D4"/>
    <w:rsid w:val="00DB6553"/>
    <w:rsid w:val="00DD01B6"/>
    <w:rsid w:val="00DD41D0"/>
    <w:rsid w:val="00DD421F"/>
    <w:rsid w:val="00DD6354"/>
    <w:rsid w:val="00DE0A62"/>
    <w:rsid w:val="00DE13A9"/>
    <w:rsid w:val="00DE6489"/>
    <w:rsid w:val="00DE66A5"/>
    <w:rsid w:val="00DF2E71"/>
    <w:rsid w:val="00E00CEB"/>
    <w:rsid w:val="00E03ED7"/>
    <w:rsid w:val="00E05FDC"/>
    <w:rsid w:val="00E151EE"/>
    <w:rsid w:val="00E16B54"/>
    <w:rsid w:val="00E16F1D"/>
    <w:rsid w:val="00E17F74"/>
    <w:rsid w:val="00E211D2"/>
    <w:rsid w:val="00E255EB"/>
    <w:rsid w:val="00E25B75"/>
    <w:rsid w:val="00E3067E"/>
    <w:rsid w:val="00E370D5"/>
    <w:rsid w:val="00E468EB"/>
    <w:rsid w:val="00E47072"/>
    <w:rsid w:val="00E51A91"/>
    <w:rsid w:val="00E543E5"/>
    <w:rsid w:val="00E5552E"/>
    <w:rsid w:val="00E61442"/>
    <w:rsid w:val="00E6742B"/>
    <w:rsid w:val="00E716E9"/>
    <w:rsid w:val="00E7372D"/>
    <w:rsid w:val="00E75E5F"/>
    <w:rsid w:val="00E77DEC"/>
    <w:rsid w:val="00E80369"/>
    <w:rsid w:val="00E81512"/>
    <w:rsid w:val="00E820B5"/>
    <w:rsid w:val="00E82356"/>
    <w:rsid w:val="00E86709"/>
    <w:rsid w:val="00E9027B"/>
    <w:rsid w:val="00E94088"/>
    <w:rsid w:val="00E96B8C"/>
    <w:rsid w:val="00EA032B"/>
    <w:rsid w:val="00EA1970"/>
    <w:rsid w:val="00EA1A7C"/>
    <w:rsid w:val="00EB061A"/>
    <w:rsid w:val="00EB0CF3"/>
    <w:rsid w:val="00EB475E"/>
    <w:rsid w:val="00EB6767"/>
    <w:rsid w:val="00EC0083"/>
    <w:rsid w:val="00EC0F10"/>
    <w:rsid w:val="00EC2B55"/>
    <w:rsid w:val="00EC5F05"/>
    <w:rsid w:val="00EC745A"/>
    <w:rsid w:val="00EE1209"/>
    <w:rsid w:val="00EE17F8"/>
    <w:rsid w:val="00EE4364"/>
    <w:rsid w:val="00EF4917"/>
    <w:rsid w:val="00F06306"/>
    <w:rsid w:val="00F10D65"/>
    <w:rsid w:val="00F15449"/>
    <w:rsid w:val="00F1641C"/>
    <w:rsid w:val="00F178F9"/>
    <w:rsid w:val="00F26B40"/>
    <w:rsid w:val="00F279BF"/>
    <w:rsid w:val="00F3174E"/>
    <w:rsid w:val="00F31AD8"/>
    <w:rsid w:val="00F3239C"/>
    <w:rsid w:val="00F40764"/>
    <w:rsid w:val="00F41328"/>
    <w:rsid w:val="00F41CD5"/>
    <w:rsid w:val="00F42C24"/>
    <w:rsid w:val="00F4675A"/>
    <w:rsid w:val="00F50699"/>
    <w:rsid w:val="00F52DC8"/>
    <w:rsid w:val="00F538FD"/>
    <w:rsid w:val="00F5406C"/>
    <w:rsid w:val="00F5484D"/>
    <w:rsid w:val="00F62103"/>
    <w:rsid w:val="00F64527"/>
    <w:rsid w:val="00F64720"/>
    <w:rsid w:val="00F71446"/>
    <w:rsid w:val="00F74B72"/>
    <w:rsid w:val="00F75C22"/>
    <w:rsid w:val="00F75E7C"/>
    <w:rsid w:val="00F76981"/>
    <w:rsid w:val="00F80397"/>
    <w:rsid w:val="00F84B0F"/>
    <w:rsid w:val="00F855F5"/>
    <w:rsid w:val="00F90B63"/>
    <w:rsid w:val="00F91E25"/>
    <w:rsid w:val="00F92141"/>
    <w:rsid w:val="00F9784F"/>
    <w:rsid w:val="00FA0CA6"/>
    <w:rsid w:val="00FA685F"/>
    <w:rsid w:val="00FA7C0F"/>
    <w:rsid w:val="00FB4449"/>
    <w:rsid w:val="00FB51ED"/>
    <w:rsid w:val="00FB6628"/>
    <w:rsid w:val="00FC107F"/>
    <w:rsid w:val="00FC2429"/>
    <w:rsid w:val="00FC6425"/>
    <w:rsid w:val="00FC7C13"/>
    <w:rsid w:val="00FD06CC"/>
    <w:rsid w:val="00FD3645"/>
    <w:rsid w:val="00FD54CF"/>
    <w:rsid w:val="00FD65EF"/>
    <w:rsid w:val="00FE4B5E"/>
    <w:rsid w:val="00FE7654"/>
    <w:rsid w:val="00FF05F9"/>
    <w:rsid w:val="00FF2575"/>
    <w:rsid w:val="00FF6E9C"/>
    <w:rsid w:val="03F03891"/>
    <w:rsid w:val="05DC982A"/>
    <w:rsid w:val="11221175"/>
    <w:rsid w:val="1A1A6520"/>
    <w:rsid w:val="2796D781"/>
    <w:rsid w:val="343B8961"/>
    <w:rsid w:val="3AE0F710"/>
    <w:rsid w:val="4910B466"/>
    <w:rsid w:val="52DBBDFF"/>
    <w:rsid w:val="57A271A7"/>
    <w:rsid w:val="5AE4BA61"/>
    <w:rsid w:val="67CDE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ABEBF"/>
  <w15:docId w15:val="{209BDF83-B099-4124-A3C2-E3B472E5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65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608C"/>
    <w:pPr>
      <w:tabs>
        <w:tab w:val="center" w:pos="4320"/>
        <w:tab w:val="right" w:pos="8640"/>
      </w:tabs>
    </w:pPr>
  </w:style>
  <w:style w:type="character" w:styleId="PageNumber">
    <w:name w:val="page number"/>
    <w:basedOn w:val="DefaultParagraphFont"/>
    <w:rsid w:val="00C6608C"/>
  </w:style>
  <w:style w:type="table" w:styleId="TableGrid">
    <w:name w:val="Table Grid"/>
    <w:basedOn w:val="TableNormal"/>
    <w:rsid w:val="002A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608C"/>
    <w:rPr>
      <w:rFonts w:ascii="Tahoma" w:hAnsi="Tahoma"/>
      <w:sz w:val="16"/>
      <w:szCs w:val="16"/>
    </w:rPr>
  </w:style>
  <w:style w:type="paragraph" w:styleId="Header">
    <w:name w:val="header"/>
    <w:basedOn w:val="Normal"/>
    <w:link w:val="HeaderChar"/>
    <w:uiPriority w:val="99"/>
    <w:rsid w:val="00F06306"/>
    <w:pPr>
      <w:tabs>
        <w:tab w:val="center" w:pos="4320"/>
        <w:tab w:val="right" w:pos="8640"/>
      </w:tabs>
    </w:pPr>
  </w:style>
  <w:style w:type="character" w:customStyle="1" w:styleId="FooterChar">
    <w:name w:val="Footer Char"/>
    <w:basedOn w:val="DefaultParagraphFont"/>
    <w:link w:val="Footer"/>
    <w:uiPriority w:val="99"/>
    <w:rsid w:val="002B0DEE"/>
    <w:rPr>
      <w:sz w:val="24"/>
      <w:szCs w:val="24"/>
    </w:rPr>
  </w:style>
  <w:style w:type="paragraph" w:styleId="ListParagraph">
    <w:name w:val="List Paragraph"/>
    <w:basedOn w:val="Normal"/>
    <w:uiPriority w:val="34"/>
    <w:qFormat/>
    <w:rsid w:val="0031583D"/>
    <w:pPr>
      <w:ind w:left="720"/>
      <w:contextualSpacing/>
    </w:pPr>
  </w:style>
  <w:style w:type="character" w:customStyle="1" w:styleId="HeaderChar">
    <w:name w:val="Header Char"/>
    <w:basedOn w:val="DefaultParagraphFont"/>
    <w:link w:val="Header"/>
    <w:uiPriority w:val="99"/>
    <w:rsid w:val="00D66357"/>
    <w:rPr>
      <w:sz w:val="24"/>
      <w:szCs w:val="24"/>
    </w:rPr>
  </w:style>
  <w:style w:type="character" w:styleId="CommentReference">
    <w:name w:val="annotation reference"/>
    <w:basedOn w:val="DefaultParagraphFont"/>
    <w:semiHidden/>
    <w:unhideWhenUsed/>
    <w:rsid w:val="001E6805"/>
    <w:rPr>
      <w:sz w:val="16"/>
      <w:szCs w:val="16"/>
    </w:rPr>
  </w:style>
  <w:style w:type="paragraph" w:styleId="CommentText">
    <w:name w:val="annotation text"/>
    <w:basedOn w:val="Normal"/>
    <w:link w:val="CommentTextChar"/>
    <w:semiHidden/>
    <w:unhideWhenUsed/>
    <w:rsid w:val="001E6805"/>
    <w:rPr>
      <w:sz w:val="20"/>
      <w:szCs w:val="20"/>
    </w:rPr>
  </w:style>
  <w:style w:type="character" w:customStyle="1" w:styleId="CommentTextChar">
    <w:name w:val="Comment Text Char"/>
    <w:basedOn w:val="DefaultParagraphFont"/>
    <w:link w:val="CommentText"/>
    <w:semiHidden/>
    <w:rsid w:val="001E6805"/>
  </w:style>
  <w:style w:type="paragraph" w:styleId="CommentSubject">
    <w:name w:val="annotation subject"/>
    <w:basedOn w:val="CommentText"/>
    <w:next w:val="CommentText"/>
    <w:link w:val="CommentSubjectChar"/>
    <w:semiHidden/>
    <w:unhideWhenUsed/>
    <w:rsid w:val="001E6805"/>
    <w:rPr>
      <w:b/>
      <w:bCs/>
    </w:rPr>
  </w:style>
  <w:style w:type="character" w:customStyle="1" w:styleId="CommentSubjectChar">
    <w:name w:val="Comment Subject Char"/>
    <w:basedOn w:val="CommentTextChar"/>
    <w:link w:val="CommentSubject"/>
    <w:semiHidden/>
    <w:rsid w:val="001E6805"/>
    <w:rPr>
      <w:b/>
      <w:bCs/>
    </w:rPr>
  </w:style>
  <w:style w:type="paragraph" w:styleId="Revision">
    <w:name w:val="Revision"/>
    <w:hidden/>
    <w:uiPriority w:val="99"/>
    <w:semiHidden/>
    <w:rsid w:val="001E68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3560">
      <w:bodyDiv w:val="1"/>
      <w:marLeft w:val="0"/>
      <w:marRight w:val="0"/>
      <w:marTop w:val="0"/>
      <w:marBottom w:val="0"/>
      <w:divBdr>
        <w:top w:val="none" w:sz="0" w:space="0" w:color="auto"/>
        <w:left w:val="none" w:sz="0" w:space="0" w:color="auto"/>
        <w:bottom w:val="none" w:sz="0" w:space="0" w:color="auto"/>
        <w:right w:val="none" w:sz="0" w:space="0" w:color="auto"/>
      </w:divBdr>
    </w:div>
    <w:div w:id="360781960">
      <w:bodyDiv w:val="1"/>
      <w:marLeft w:val="0"/>
      <w:marRight w:val="0"/>
      <w:marTop w:val="0"/>
      <w:marBottom w:val="0"/>
      <w:divBdr>
        <w:top w:val="none" w:sz="0" w:space="0" w:color="auto"/>
        <w:left w:val="none" w:sz="0" w:space="0" w:color="auto"/>
        <w:bottom w:val="none" w:sz="0" w:space="0" w:color="auto"/>
        <w:right w:val="none" w:sz="0" w:space="0" w:color="auto"/>
      </w:divBdr>
    </w:div>
    <w:div w:id="450905479">
      <w:bodyDiv w:val="1"/>
      <w:marLeft w:val="0"/>
      <w:marRight w:val="0"/>
      <w:marTop w:val="0"/>
      <w:marBottom w:val="0"/>
      <w:divBdr>
        <w:top w:val="none" w:sz="0" w:space="0" w:color="auto"/>
        <w:left w:val="none" w:sz="0" w:space="0" w:color="auto"/>
        <w:bottom w:val="none" w:sz="0" w:space="0" w:color="auto"/>
        <w:right w:val="none" w:sz="0" w:space="0" w:color="auto"/>
      </w:divBdr>
    </w:div>
    <w:div w:id="479032436">
      <w:bodyDiv w:val="1"/>
      <w:marLeft w:val="0"/>
      <w:marRight w:val="0"/>
      <w:marTop w:val="0"/>
      <w:marBottom w:val="0"/>
      <w:divBdr>
        <w:top w:val="none" w:sz="0" w:space="0" w:color="auto"/>
        <w:left w:val="none" w:sz="0" w:space="0" w:color="auto"/>
        <w:bottom w:val="none" w:sz="0" w:space="0" w:color="auto"/>
        <w:right w:val="none" w:sz="0" w:space="0" w:color="auto"/>
      </w:divBdr>
    </w:div>
    <w:div w:id="626205828">
      <w:bodyDiv w:val="1"/>
      <w:marLeft w:val="0"/>
      <w:marRight w:val="0"/>
      <w:marTop w:val="0"/>
      <w:marBottom w:val="0"/>
      <w:divBdr>
        <w:top w:val="none" w:sz="0" w:space="0" w:color="auto"/>
        <w:left w:val="none" w:sz="0" w:space="0" w:color="auto"/>
        <w:bottom w:val="none" w:sz="0" w:space="0" w:color="auto"/>
        <w:right w:val="none" w:sz="0" w:space="0" w:color="auto"/>
      </w:divBdr>
    </w:div>
    <w:div w:id="955722542">
      <w:bodyDiv w:val="1"/>
      <w:marLeft w:val="0"/>
      <w:marRight w:val="0"/>
      <w:marTop w:val="0"/>
      <w:marBottom w:val="0"/>
      <w:divBdr>
        <w:top w:val="none" w:sz="0" w:space="0" w:color="auto"/>
        <w:left w:val="none" w:sz="0" w:space="0" w:color="auto"/>
        <w:bottom w:val="none" w:sz="0" w:space="0" w:color="auto"/>
        <w:right w:val="none" w:sz="0" w:space="0" w:color="auto"/>
      </w:divBdr>
    </w:div>
    <w:div w:id="1466778035">
      <w:bodyDiv w:val="1"/>
      <w:marLeft w:val="0"/>
      <w:marRight w:val="0"/>
      <w:marTop w:val="0"/>
      <w:marBottom w:val="0"/>
      <w:divBdr>
        <w:top w:val="none" w:sz="0" w:space="0" w:color="auto"/>
        <w:left w:val="none" w:sz="0" w:space="0" w:color="auto"/>
        <w:bottom w:val="none" w:sz="0" w:space="0" w:color="auto"/>
        <w:right w:val="none" w:sz="0" w:space="0" w:color="auto"/>
      </w:divBdr>
    </w:div>
    <w:div w:id="1568882474">
      <w:bodyDiv w:val="1"/>
      <w:marLeft w:val="0"/>
      <w:marRight w:val="0"/>
      <w:marTop w:val="0"/>
      <w:marBottom w:val="0"/>
      <w:divBdr>
        <w:top w:val="none" w:sz="0" w:space="0" w:color="auto"/>
        <w:left w:val="none" w:sz="0" w:space="0" w:color="auto"/>
        <w:bottom w:val="none" w:sz="0" w:space="0" w:color="auto"/>
        <w:right w:val="none" w:sz="0" w:space="0" w:color="auto"/>
      </w:divBdr>
    </w:div>
    <w:div w:id="1646936209">
      <w:bodyDiv w:val="1"/>
      <w:marLeft w:val="0"/>
      <w:marRight w:val="0"/>
      <w:marTop w:val="0"/>
      <w:marBottom w:val="0"/>
      <w:divBdr>
        <w:top w:val="none" w:sz="0" w:space="0" w:color="auto"/>
        <w:left w:val="none" w:sz="0" w:space="0" w:color="auto"/>
        <w:bottom w:val="none" w:sz="0" w:space="0" w:color="auto"/>
        <w:right w:val="none" w:sz="0" w:space="0" w:color="auto"/>
      </w:divBdr>
    </w:div>
    <w:div w:id="1949579932">
      <w:bodyDiv w:val="1"/>
      <w:marLeft w:val="0"/>
      <w:marRight w:val="0"/>
      <w:marTop w:val="0"/>
      <w:marBottom w:val="0"/>
      <w:divBdr>
        <w:top w:val="none" w:sz="0" w:space="0" w:color="auto"/>
        <w:left w:val="none" w:sz="0" w:space="0" w:color="auto"/>
        <w:bottom w:val="none" w:sz="0" w:space="0" w:color="auto"/>
        <w:right w:val="none" w:sz="0" w:space="0" w:color="auto"/>
      </w:divBdr>
    </w:div>
    <w:div w:id="2016028389">
      <w:bodyDiv w:val="1"/>
      <w:marLeft w:val="0"/>
      <w:marRight w:val="0"/>
      <w:marTop w:val="0"/>
      <w:marBottom w:val="0"/>
      <w:divBdr>
        <w:top w:val="none" w:sz="0" w:space="0" w:color="auto"/>
        <w:left w:val="none" w:sz="0" w:space="0" w:color="auto"/>
        <w:bottom w:val="none" w:sz="0" w:space="0" w:color="auto"/>
        <w:right w:val="none" w:sz="0" w:space="0" w:color="auto"/>
      </w:divBdr>
    </w:div>
    <w:div w:id="20305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B10DB9AED134287AC8BF95CC71F0E" ma:contentTypeVersion="9" ma:contentTypeDescription="Create a new document." ma:contentTypeScope="" ma:versionID="1fcfadbff54c1fc77768ff92bd81ca0a">
  <xsd:schema xmlns:xsd="http://www.w3.org/2001/XMLSchema" xmlns:xs="http://www.w3.org/2001/XMLSchema" xmlns:p="http://schemas.microsoft.com/office/2006/metadata/properties" xmlns:ns2="cb4083e4-64c7-4227-a669-042e7a67e18b" xmlns:ns3="ee375e1a-6095-4d90-9393-6b8621ac6ab3" targetNamespace="http://schemas.microsoft.com/office/2006/metadata/properties" ma:root="true" ma:fieldsID="7fb0af5ee315a4d924dc7e2318229b4c" ns2:_="" ns3:_="">
    <xsd:import namespace="cb4083e4-64c7-4227-a669-042e7a67e18b"/>
    <xsd:import namespace="ee375e1a-6095-4d90-9393-6b8621ac6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083e4-64c7-4227-a669-042e7a67e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75e1a-6095-4d90-9393-6b8621ac6a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9A786-8033-491F-A09C-AAC951FEDD24}">
  <ds:schemaRefs>
    <ds:schemaRef ds:uri="http://schemas.microsoft.com/sharepoint/v3/contenttype/forms"/>
  </ds:schemaRefs>
</ds:datastoreItem>
</file>

<file path=customXml/itemProps2.xml><?xml version="1.0" encoding="utf-8"?>
<ds:datastoreItem xmlns:ds="http://schemas.openxmlformats.org/officeDocument/2006/customXml" ds:itemID="{F8DB56E0-6D6A-45D1-A391-84F8444A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083e4-64c7-4227-a669-042e7a67e18b"/>
    <ds:schemaRef ds:uri="ee375e1a-6095-4d90-9393-6b8621ac6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1652D-D6C2-43D3-8A88-5C59E09DAFC1}">
  <ds:schemaRefs>
    <ds:schemaRef ds:uri="http://purl.org/dc/elements/1.1/"/>
    <ds:schemaRef ds:uri="http://schemas.microsoft.com/office/2006/metadata/properties"/>
    <ds:schemaRef ds:uri="ee375e1a-6095-4d90-9393-6b8621ac6ab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b4083e4-64c7-4227-a669-042e7a67e1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5</Pages>
  <Words>1204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City of Asheville</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dc:creator>
  <cp:keywords/>
  <dc:description/>
  <cp:lastModifiedBy>David N. Ades</cp:lastModifiedBy>
  <cp:revision>35</cp:revision>
  <cp:lastPrinted>2010-10-29T17:15:00Z</cp:lastPrinted>
  <dcterms:created xsi:type="dcterms:W3CDTF">2018-10-10T14:15:00Z</dcterms:created>
  <dcterms:modified xsi:type="dcterms:W3CDTF">2018-10-31T13:06:00Z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0x010100B24B10DB9AED134287AC8BF95CC71F0E</vt:lpwstr>
  </property>
</Properties>
</file>